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1B60C2" w14:textId="77777777" w:rsidR="00A8106B" w:rsidRPr="00A8106B" w:rsidRDefault="000248A4" w:rsidP="00A8106B">
      <w:pPr>
        <w:spacing w:after="0"/>
        <w:ind w:left="2829"/>
        <w:jc w:val="right"/>
        <w:rPr>
          <w:rFonts w:cstheme="minorHAnsi"/>
          <w:szCs w:val="20"/>
        </w:rPr>
      </w:pPr>
      <w:r>
        <w:tab/>
      </w:r>
      <w:r w:rsidR="00A8106B" w:rsidRPr="00A8106B">
        <w:rPr>
          <w:rFonts w:cstheme="minorHAnsi"/>
          <w:szCs w:val="20"/>
        </w:rPr>
        <w:t>Załącznik nr 4</w:t>
      </w:r>
    </w:p>
    <w:p w14:paraId="36E671E1" w14:textId="714F6B27" w:rsidR="004609EA" w:rsidRPr="004609EA" w:rsidRDefault="00A8106B" w:rsidP="00A8106B">
      <w:pPr>
        <w:spacing w:after="0"/>
        <w:ind w:left="2829"/>
        <w:jc w:val="right"/>
        <w:rPr>
          <w:rFonts w:cstheme="minorHAnsi"/>
          <w:szCs w:val="20"/>
        </w:rPr>
      </w:pPr>
      <w:r w:rsidRPr="00A8106B">
        <w:rPr>
          <w:rFonts w:cstheme="minorHAnsi"/>
          <w:szCs w:val="20"/>
        </w:rPr>
        <w:t xml:space="preserve">do Umowy Inwestycyjnej nr / /UI/RPO </w:t>
      </w:r>
      <w:proofErr w:type="spellStart"/>
      <w:r w:rsidRPr="00A8106B">
        <w:rPr>
          <w:rFonts w:cstheme="minorHAnsi"/>
          <w:szCs w:val="20"/>
        </w:rPr>
        <w:t>WiM</w:t>
      </w:r>
      <w:proofErr w:type="spellEnd"/>
      <w:r w:rsidRPr="00A8106B">
        <w:rPr>
          <w:rFonts w:cstheme="minorHAnsi"/>
          <w:szCs w:val="20"/>
        </w:rPr>
        <w:t>/REG</w:t>
      </w:r>
      <w:r>
        <w:rPr>
          <w:rFonts w:cstheme="minorHAnsi"/>
          <w:szCs w:val="20"/>
        </w:rPr>
        <w:t xml:space="preserve"> II</w:t>
      </w:r>
      <w:r w:rsidRPr="00A8106B">
        <w:rPr>
          <w:rFonts w:cstheme="minorHAnsi"/>
          <w:szCs w:val="20"/>
        </w:rPr>
        <w:t>/</w:t>
      </w:r>
      <w:r>
        <w:rPr>
          <w:rFonts w:cstheme="minorHAnsi"/>
          <w:szCs w:val="20"/>
        </w:rPr>
        <w:t>NIDA</w:t>
      </w:r>
    </w:p>
    <w:p w14:paraId="7A0539FE" w14:textId="199E3EE7" w:rsidR="00346CB0" w:rsidRDefault="00346CB0" w:rsidP="004609EA">
      <w:pPr>
        <w:pStyle w:val="Akapitzlist"/>
        <w:tabs>
          <w:tab w:val="left" w:pos="8178"/>
        </w:tabs>
        <w:spacing w:after="0" w:line="240" w:lineRule="auto"/>
        <w:contextualSpacing w:val="0"/>
        <w:jc w:val="right"/>
      </w:pPr>
    </w:p>
    <w:p w14:paraId="4093F291" w14:textId="77777777" w:rsidR="005F3EAE" w:rsidRDefault="00A543DB" w:rsidP="000248A4">
      <w:pPr>
        <w:pStyle w:val="Akapitzlist"/>
        <w:spacing w:after="0"/>
        <w:ind w:left="0"/>
        <w:contextualSpacing w:val="0"/>
        <w:jc w:val="center"/>
        <w:rPr>
          <w:b/>
        </w:rPr>
      </w:pPr>
      <w:r w:rsidRPr="00F854F4">
        <w:rPr>
          <w:b/>
        </w:rPr>
        <w:t xml:space="preserve">Karta Produktu </w:t>
      </w:r>
      <w:r w:rsidR="001E0E56" w:rsidRPr="00435608">
        <w:rPr>
          <w:b/>
        </w:rPr>
        <w:t xml:space="preserve">Pożyczka </w:t>
      </w:r>
      <w:r w:rsidR="00AF0300">
        <w:rPr>
          <w:b/>
        </w:rPr>
        <w:t>Regionalna dla MŚP</w:t>
      </w:r>
    </w:p>
    <w:p w14:paraId="06CD8DE1" w14:textId="77777777" w:rsidR="000248A4" w:rsidRPr="00527E4F" w:rsidRDefault="000248A4" w:rsidP="000248A4">
      <w:pPr>
        <w:pStyle w:val="Akapitzlist"/>
        <w:spacing w:after="0"/>
        <w:ind w:left="0"/>
        <w:contextualSpacing w:val="0"/>
        <w:jc w:val="center"/>
        <w:rPr>
          <w:b/>
          <w:sz w:val="20"/>
        </w:rPr>
      </w:pPr>
    </w:p>
    <w:p w14:paraId="16C8A51E" w14:textId="77777777" w:rsidR="007678C3" w:rsidRPr="00F854F4" w:rsidRDefault="007678C3" w:rsidP="000248A4">
      <w:pPr>
        <w:pStyle w:val="Akapitzlist"/>
        <w:numPr>
          <w:ilvl w:val="0"/>
          <w:numId w:val="2"/>
        </w:numPr>
        <w:spacing w:after="0"/>
        <w:ind w:left="426" w:hanging="426"/>
        <w:contextualSpacing w:val="0"/>
        <w:jc w:val="both"/>
        <w:rPr>
          <w:b/>
        </w:rPr>
      </w:pPr>
      <w:r w:rsidRPr="00F854F4">
        <w:rPr>
          <w:b/>
        </w:rPr>
        <w:t xml:space="preserve">Podstawowe parametry </w:t>
      </w:r>
      <w:r w:rsidR="005F7B39">
        <w:rPr>
          <w:b/>
        </w:rPr>
        <w:t xml:space="preserve">Pożyczki </w:t>
      </w:r>
      <w:r w:rsidR="00AF0300">
        <w:rPr>
          <w:b/>
        </w:rPr>
        <w:t>Regionalnej dla MŚP</w:t>
      </w:r>
    </w:p>
    <w:p w14:paraId="2A73221A" w14:textId="77777777" w:rsidR="00AF0300" w:rsidRDefault="00AF0300" w:rsidP="000248A4">
      <w:pPr>
        <w:pStyle w:val="Akapitzlist"/>
        <w:numPr>
          <w:ilvl w:val="0"/>
          <w:numId w:val="1"/>
        </w:numPr>
        <w:spacing w:after="0"/>
        <w:ind w:left="426" w:hanging="426"/>
        <w:contextualSpacing w:val="0"/>
        <w:jc w:val="both"/>
      </w:pPr>
      <w:r>
        <w:t xml:space="preserve">Maksymalna </w:t>
      </w:r>
      <w:r w:rsidR="007678C3" w:rsidRPr="00F854F4">
        <w:t xml:space="preserve">Wartość </w:t>
      </w:r>
      <w:r w:rsidR="00D00D62">
        <w:t>Pożyczki</w:t>
      </w:r>
      <w:r w:rsidR="00242BE0" w:rsidRPr="00F854F4">
        <w:t xml:space="preserve"> </w:t>
      </w:r>
      <w:r w:rsidR="005F7B39">
        <w:t xml:space="preserve">wynosi </w:t>
      </w:r>
      <w:r>
        <w:t>1.000.000,00</w:t>
      </w:r>
      <w:r w:rsidR="005F7B39">
        <w:t xml:space="preserve"> zł</w:t>
      </w:r>
      <w:r w:rsidR="007678C3" w:rsidRPr="00F854F4">
        <w:t>.</w:t>
      </w:r>
    </w:p>
    <w:p w14:paraId="1DF00DBF" w14:textId="77777777" w:rsidR="00A51C14" w:rsidRPr="00F854F4" w:rsidRDefault="00A51C14" w:rsidP="000248A4">
      <w:pPr>
        <w:pStyle w:val="Akapitzlist"/>
        <w:numPr>
          <w:ilvl w:val="0"/>
          <w:numId w:val="1"/>
        </w:numPr>
        <w:spacing w:after="0"/>
        <w:ind w:left="426" w:hanging="426"/>
        <w:contextualSpacing w:val="0"/>
        <w:jc w:val="both"/>
      </w:pPr>
      <w:r w:rsidRPr="00F854F4">
        <w:t xml:space="preserve">Maksymalny termin na wypłatę całkowitej kwoty </w:t>
      </w:r>
      <w:r w:rsidR="00A21B2D">
        <w:t xml:space="preserve">Pożyczki </w:t>
      </w:r>
      <w:r w:rsidR="005F7B39">
        <w:t>przez</w:t>
      </w:r>
      <w:r w:rsidR="00280176">
        <w:t xml:space="preserve"> </w:t>
      </w:r>
      <w:r w:rsidR="00AF0300">
        <w:t>Pośrednika Finansowego</w:t>
      </w:r>
      <w:r w:rsidR="005F7B39">
        <w:t xml:space="preserve"> wynosi </w:t>
      </w:r>
      <w:r w:rsidR="00E70C0A">
        <w:t>30</w:t>
      </w:r>
      <w:r w:rsidR="00E70C0A" w:rsidRPr="00F854F4">
        <w:t xml:space="preserve"> </w:t>
      </w:r>
      <w:r w:rsidRPr="00F854F4">
        <w:t>dni k</w:t>
      </w:r>
      <w:r w:rsidR="00D00D62">
        <w:t>alendarzowych od dnia zawarcia u</w:t>
      </w:r>
      <w:r w:rsidRPr="00F854F4">
        <w:t xml:space="preserve">mowy </w:t>
      </w:r>
      <w:r w:rsidR="00D00D62">
        <w:t>Pożyczki</w:t>
      </w:r>
      <w:r w:rsidRPr="00F854F4">
        <w:t xml:space="preserve">. </w:t>
      </w:r>
    </w:p>
    <w:p w14:paraId="1D4C2B1C" w14:textId="77777777" w:rsidR="00097D21" w:rsidRPr="00F854F4" w:rsidRDefault="00097D21" w:rsidP="009B7A27">
      <w:pPr>
        <w:pStyle w:val="Akapitzlist"/>
        <w:numPr>
          <w:ilvl w:val="0"/>
          <w:numId w:val="1"/>
        </w:numPr>
        <w:spacing w:after="0"/>
        <w:ind w:left="426" w:hanging="426"/>
        <w:contextualSpacing w:val="0"/>
        <w:jc w:val="both"/>
      </w:pPr>
      <w:r w:rsidRPr="00F854F4">
        <w:t xml:space="preserve">Maksymalny okres spłaty </w:t>
      </w:r>
      <w:r w:rsidR="00A21B2D">
        <w:t xml:space="preserve">Pożyczki </w:t>
      </w:r>
      <w:r w:rsidR="005F7B39">
        <w:t xml:space="preserve">nie może być dłuższy niż </w:t>
      </w:r>
      <w:r w:rsidR="00E70C0A">
        <w:t>84</w:t>
      </w:r>
      <w:r w:rsidRPr="00F854F4">
        <w:t xml:space="preserve"> miesi</w:t>
      </w:r>
      <w:r w:rsidR="00E70C0A">
        <w:t>ą</w:t>
      </w:r>
      <w:r w:rsidRPr="00F854F4">
        <w:t>c</w:t>
      </w:r>
      <w:r w:rsidR="00E70C0A">
        <w:t>e</w:t>
      </w:r>
      <w:r w:rsidR="00AE7DAF" w:rsidRPr="00F854F4">
        <w:t>, od momentu jej uruchomienia</w:t>
      </w:r>
      <w:r w:rsidR="00854DE4" w:rsidRPr="00F854F4">
        <w:t xml:space="preserve">, tj. wypłaty jakiejkolwiek kwoty </w:t>
      </w:r>
      <w:r w:rsidR="00A21B2D">
        <w:t>Pożyczki</w:t>
      </w:r>
      <w:r w:rsidRPr="00F854F4">
        <w:t>.</w:t>
      </w:r>
    </w:p>
    <w:p w14:paraId="0E1E9908" w14:textId="77777777" w:rsidR="00CC1E53" w:rsidRPr="00F854F4" w:rsidRDefault="00CC1E53" w:rsidP="009B7A27">
      <w:pPr>
        <w:pStyle w:val="Akapitzlist"/>
        <w:numPr>
          <w:ilvl w:val="0"/>
          <w:numId w:val="1"/>
        </w:numPr>
        <w:spacing w:after="0"/>
        <w:ind w:left="426" w:hanging="426"/>
        <w:contextualSpacing w:val="0"/>
        <w:jc w:val="both"/>
      </w:pPr>
      <w:r w:rsidRPr="00F854F4">
        <w:t xml:space="preserve">Maksymalna karencja w spłacie </w:t>
      </w:r>
      <w:r w:rsidR="00346CB0">
        <w:t xml:space="preserve">kapitału </w:t>
      </w:r>
      <w:r w:rsidR="00A21B2D">
        <w:t xml:space="preserve">Pożyczki </w:t>
      </w:r>
      <w:r w:rsidR="005F7B39">
        <w:t xml:space="preserve">wynosi </w:t>
      </w:r>
      <w:r w:rsidR="00057A08">
        <w:t>12</w:t>
      </w:r>
      <w:r w:rsidRPr="00F854F4">
        <w:t xml:space="preserve"> miesięcy</w:t>
      </w:r>
      <w:r w:rsidR="006856FE" w:rsidRPr="00F854F4">
        <w:t xml:space="preserve"> od dnia jej uruchomienia</w:t>
      </w:r>
      <w:r w:rsidRPr="00F854F4">
        <w:t xml:space="preserve">, przy czym karencja nie wydłuża okresu spłaty </w:t>
      </w:r>
      <w:r w:rsidR="00A21B2D">
        <w:t>Pożyczki</w:t>
      </w:r>
      <w:r w:rsidR="00A51C14" w:rsidRPr="00F854F4">
        <w:t>.</w:t>
      </w:r>
      <w:r w:rsidR="00BB28F7">
        <w:t xml:space="preserve"> </w:t>
      </w:r>
    </w:p>
    <w:p w14:paraId="46E182CD" w14:textId="77777777" w:rsidR="001465A3" w:rsidRPr="00527E4F" w:rsidRDefault="001465A3" w:rsidP="007A7267">
      <w:pPr>
        <w:pStyle w:val="Akapitzlist"/>
        <w:spacing w:after="0"/>
        <w:ind w:left="0"/>
        <w:contextualSpacing w:val="0"/>
        <w:jc w:val="both"/>
        <w:rPr>
          <w:b/>
          <w:sz w:val="20"/>
        </w:rPr>
      </w:pPr>
    </w:p>
    <w:p w14:paraId="5463C378" w14:textId="77777777" w:rsidR="001465A3" w:rsidRPr="00F854F4" w:rsidRDefault="00FD1A3D" w:rsidP="009B7A27">
      <w:pPr>
        <w:pStyle w:val="Akapitzlist"/>
        <w:numPr>
          <w:ilvl w:val="0"/>
          <w:numId w:val="2"/>
        </w:numPr>
        <w:spacing w:after="0"/>
        <w:ind w:left="426" w:hanging="426"/>
        <w:contextualSpacing w:val="0"/>
        <w:jc w:val="both"/>
        <w:rPr>
          <w:b/>
        </w:rPr>
      </w:pPr>
      <w:r w:rsidRPr="00F854F4">
        <w:rPr>
          <w:b/>
        </w:rPr>
        <w:t>Z</w:t>
      </w:r>
      <w:r w:rsidR="005F3EAE" w:rsidRPr="00F854F4">
        <w:rPr>
          <w:b/>
        </w:rPr>
        <w:t>asady dotyczące</w:t>
      </w:r>
      <w:r w:rsidR="001465A3" w:rsidRPr="00F854F4">
        <w:rPr>
          <w:b/>
        </w:rPr>
        <w:t xml:space="preserve"> udzielania</w:t>
      </w:r>
      <w:r w:rsidR="00417A9B" w:rsidRPr="00F854F4">
        <w:rPr>
          <w:b/>
        </w:rPr>
        <w:t xml:space="preserve"> i udokumentowania</w:t>
      </w:r>
      <w:r w:rsidR="001465A3" w:rsidRPr="00F854F4">
        <w:rPr>
          <w:b/>
        </w:rPr>
        <w:t xml:space="preserve"> </w:t>
      </w:r>
      <w:r w:rsidR="00A21B2D">
        <w:rPr>
          <w:b/>
        </w:rPr>
        <w:t xml:space="preserve">Pożyczki </w:t>
      </w:r>
      <w:r w:rsidR="00FB7094">
        <w:rPr>
          <w:b/>
        </w:rPr>
        <w:t>Regionalnej dla MŚP</w:t>
      </w:r>
    </w:p>
    <w:p w14:paraId="124EB9FF" w14:textId="77777777" w:rsidR="00622CCB" w:rsidRPr="00622CCB" w:rsidRDefault="00622CCB" w:rsidP="009B7A27">
      <w:pPr>
        <w:pStyle w:val="Default"/>
        <w:numPr>
          <w:ilvl w:val="0"/>
          <w:numId w:val="6"/>
        </w:numPr>
        <w:spacing w:line="276" w:lineRule="auto"/>
        <w:ind w:left="426" w:hanging="426"/>
        <w:jc w:val="both"/>
        <w:rPr>
          <w:rFonts w:asciiTheme="minorHAnsi" w:hAnsiTheme="minorHAnsi" w:cstheme="minorHAnsi"/>
          <w:b/>
          <w:color w:val="auto"/>
          <w:sz w:val="22"/>
          <w:szCs w:val="22"/>
        </w:rPr>
      </w:pPr>
      <w:r w:rsidRPr="00622CCB">
        <w:rPr>
          <w:rFonts w:asciiTheme="minorHAnsi" w:hAnsiTheme="minorHAnsi" w:cstheme="minorHAnsi"/>
          <w:color w:val="auto"/>
          <w:sz w:val="22"/>
          <w:szCs w:val="22"/>
        </w:rPr>
        <w:t xml:space="preserve">Udzielenie Jednostkowej Pożyczki Regionalnej dla MŚP nie może być uzależnione od zawarcia przez Ostatecznego Odbiorcę dodatkowych umów (w szczególności dotyczących zakupu dodatkowych usług, produktów finansowych lub ubezpieczeniowych) z Pośrednikiem Finansowym lub podmiotem partnerskim lub powiązanym w stosunku do Pośrednika Finansowego; powyższe nie dotyczy powszechnie występujących na rynku oraz standardowo stosowanych przez Pośrednika Finansowego zabezpieczeń ustanawianych przez Ostatecznego Odbiorcę na rzecz Pośrednika Finansowego w związku z zawieraną umową Jednostkowej Pożyczki Regionalnej dla MŚP z zastrzeżeniem, iż w przypadku zabezpieczenia takiego jak „cesja praw z polisy ubezpieczeniowej” Ostateczny Odbiorca ma możliwość wyboru oferty spośród ubezpieczycieli dostępnych na rynku. </w:t>
      </w:r>
    </w:p>
    <w:p w14:paraId="71423896" w14:textId="77777777" w:rsidR="00A11AF5" w:rsidRDefault="00622CCB" w:rsidP="00A11AF5">
      <w:pPr>
        <w:pStyle w:val="Default"/>
        <w:numPr>
          <w:ilvl w:val="0"/>
          <w:numId w:val="6"/>
        </w:numPr>
        <w:spacing w:line="276" w:lineRule="auto"/>
        <w:ind w:left="426" w:hanging="426"/>
        <w:jc w:val="both"/>
        <w:rPr>
          <w:rFonts w:asciiTheme="minorHAnsi" w:hAnsiTheme="minorHAnsi" w:cstheme="minorHAnsi"/>
          <w:b/>
          <w:color w:val="auto"/>
          <w:sz w:val="22"/>
          <w:szCs w:val="22"/>
        </w:rPr>
      </w:pPr>
      <w:r w:rsidRPr="00622CCB">
        <w:rPr>
          <w:rFonts w:asciiTheme="minorHAnsi" w:hAnsiTheme="minorHAnsi" w:cstheme="minorHAnsi"/>
          <w:color w:val="auto"/>
          <w:sz w:val="22"/>
          <w:szCs w:val="22"/>
        </w:rPr>
        <w:t xml:space="preserve">Wydatkowanie środków Jednostkowej Pożyczki Regionalnej dla MŚP musi zostać należycie udokumentowane </w:t>
      </w:r>
      <w:r w:rsidRPr="00622CCB">
        <w:rPr>
          <w:rFonts w:asciiTheme="minorHAnsi" w:hAnsiTheme="minorHAnsi" w:cstheme="minorHAnsi"/>
          <w:bCs/>
          <w:color w:val="auto"/>
          <w:sz w:val="22"/>
          <w:szCs w:val="22"/>
        </w:rPr>
        <w:t xml:space="preserve">w terminie do 180 dni </w:t>
      </w:r>
      <w:r w:rsidRPr="00622CCB">
        <w:rPr>
          <w:rFonts w:asciiTheme="minorHAnsi" w:hAnsiTheme="minorHAnsi" w:cstheme="minorHAnsi"/>
          <w:color w:val="auto"/>
          <w:sz w:val="22"/>
          <w:szCs w:val="22"/>
        </w:rPr>
        <w:t xml:space="preserve">od dnia wypłaty pełnej kwoty przedmiotowej Jednostkowej Pożyczki Regionalnej dla MŚP. W uzasadnionych przypadkach i na wniosek Ostatecznego Odbiorcy termin 180 dni może uleć wydłużeniu, maksymalnie o </w:t>
      </w:r>
      <w:r w:rsidRPr="00622CCB">
        <w:rPr>
          <w:rFonts w:asciiTheme="minorHAnsi" w:hAnsiTheme="minorHAnsi" w:cstheme="minorHAnsi"/>
          <w:bCs/>
          <w:color w:val="auto"/>
          <w:sz w:val="22"/>
          <w:szCs w:val="22"/>
        </w:rPr>
        <w:t xml:space="preserve">90 dni, </w:t>
      </w:r>
      <w:r w:rsidRPr="00622CCB">
        <w:rPr>
          <w:rFonts w:asciiTheme="minorHAnsi" w:hAnsiTheme="minorHAnsi" w:cstheme="minorHAnsi"/>
          <w:color w:val="auto"/>
          <w:sz w:val="22"/>
          <w:szCs w:val="22"/>
        </w:rPr>
        <w:t xml:space="preserve">ze względu na charakter inwestycji. </w:t>
      </w:r>
    </w:p>
    <w:p w14:paraId="1481C13D" w14:textId="77777777" w:rsidR="00A11AF5" w:rsidRDefault="00622CCB" w:rsidP="00A11AF5">
      <w:pPr>
        <w:pStyle w:val="Default"/>
        <w:numPr>
          <w:ilvl w:val="0"/>
          <w:numId w:val="6"/>
        </w:numPr>
        <w:spacing w:line="276" w:lineRule="auto"/>
        <w:ind w:left="426" w:hanging="426"/>
        <w:jc w:val="both"/>
        <w:rPr>
          <w:rFonts w:asciiTheme="minorHAnsi" w:hAnsiTheme="minorHAnsi" w:cstheme="minorHAnsi"/>
          <w:b/>
          <w:color w:val="auto"/>
          <w:sz w:val="22"/>
          <w:szCs w:val="22"/>
        </w:rPr>
      </w:pPr>
      <w:r w:rsidRPr="00A11AF5">
        <w:rPr>
          <w:rFonts w:asciiTheme="minorHAnsi" w:hAnsiTheme="minorHAnsi" w:cstheme="minorHAnsi"/>
          <w:color w:val="auto"/>
          <w:sz w:val="22"/>
          <w:szCs w:val="22"/>
        </w:rPr>
        <w:t xml:space="preserve">Dokumentem potwierdzającym wydatkowanie środków zgodnie z celem, na jaki zostały przyznane jest faktura lub dokument równoważny, w rozumieniu przepisów prawa krajowego. </w:t>
      </w:r>
    </w:p>
    <w:p w14:paraId="50DF069E" w14:textId="77777777" w:rsidR="00A11AF5" w:rsidRDefault="00AB48B4" w:rsidP="00A11AF5">
      <w:pPr>
        <w:pStyle w:val="Default"/>
        <w:numPr>
          <w:ilvl w:val="0"/>
          <w:numId w:val="6"/>
        </w:numPr>
        <w:spacing w:line="276" w:lineRule="auto"/>
        <w:ind w:left="426" w:hanging="426"/>
        <w:jc w:val="both"/>
        <w:rPr>
          <w:rFonts w:asciiTheme="minorHAnsi" w:hAnsiTheme="minorHAnsi" w:cstheme="minorHAnsi"/>
          <w:b/>
          <w:color w:val="auto"/>
          <w:sz w:val="22"/>
          <w:szCs w:val="22"/>
        </w:rPr>
      </w:pPr>
      <w:r w:rsidRPr="00A11AF5">
        <w:rPr>
          <w:rFonts w:asciiTheme="minorHAnsi" w:hAnsiTheme="minorHAnsi" w:cstheme="minorHAnsi"/>
          <w:sz w:val="22"/>
          <w:szCs w:val="22"/>
        </w:rPr>
        <w:t>Pożyczkodawca</w:t>
      </w:r>
      <w:r w:rsidR="009674CB" w:rsidRPr="00A11AF5">
        <w:rPr>
          <w:rFonts w:asciiTheme="minorHAnsi" w:hAnsiTheme="minorHAnsi" w:cstheme="minorHAnsi"/>
          <w:sz w:val="22"/>
          <w:szCs w:val="22"/>
        </w:rPr>
        <w:t xml:space="preserve"> może przyjąć do rozliczenia dokument potwierdzający wydatkowanie </w:t>
      </w:r>
      <w:r w:rsidRPr="00A11AF5">
        <w:rPr>
          <w:rFonts w:asciiTheme="minorHAnsi" w:hAnsiTheme="minorHAnsi" w:cstheme="minorHAnsi"/>
          <w:sz w:val="22"/>
          <w:szCs w:val="22"/>
        </w:rPr>
        <w:t>Pożyczki</w:t>
      </w:r>
      <w:r w:rsidR="009674CB" w:rsidRPr="00A11AF5">
        <w:rPr>
          <w:rFonts w:asciiTheme="minorHAnsi" w:hAnsiTheme="minorHAnsi" w:cstheme="minorHAnsi"/>
          <w:sz w:val="22"/>
          <w:szCs w:val="22"/>
        </w:rPr>
        <w:t xml:space="preserve"> wystawiony z datą wcześniejszą, pod warunkiem, że pozyska on wiarygodne dowody, że przedstawiony dokument nie został opłacony przed dniem złożenia wniosku o udzielenie Pożyczki</w:t>
      </w:r>
      <w:r w:rsidR="005F7B39" w:rsidRPr="00A11AF5">
        <w:rPr>
          <w:rFonts w:asciiTheme="minorHAnsi" w:hAnsiTheme="minorHAnsi" w:cstheme="minorHAnsi"/>
          <w:sz w:val="22"/>
          <w:szCs w:val="22"/>
        </w:rPr>
        <w:t>.</w:t>
      </w:r>
    </w:p>
    <w:p w14:paraId="170DC3DA" w14:textId="77777777" w:rsidR="00A11AF5" w:rsidRDefault="00674F4F" w:rsidP="00A11AF5">
      <w:pPr>
        <w:pStyle w:val="Default"/>
        <w:numPr>
          <w:ilvl w:val="0"/>
          <w:numId w:val="6"/>
        </w:numPr>
        <w:spacing w:line="276" w:lineRule="auto"/>
        <w:ind w:left="426" w:hanging="426"/>
        <w:jc w:val="both"/>
        <w:rPr>
          <w:rFonts w:asciiTheme="minorHAnsi" w:hAnsiTheme="minorHAnsi" w:cstheme="minorHAnsi"/>
          <w:b/>
          <w:color w:val="auto"/>
          <w:sz w:val="22"/>
          <w:szCs w:val="22"/>
        </w:rPr>
      </w:pPr>
      <w:r w:rsidRPr="00A11AF5">
        <w:rPr>
          <w:rFonts w:asciiTheme="minorHAnsi" w:hAnsiTheme="minorHAnsi" w:cstheme="minorHAnsi"/>
          <w:sz w:val="22"/>
          <w:szCs w:val="22"/>
        </w:rPr>
        <w:t xml:space="preserve">W przypadku dokonywania w ramach Inwestycji płatności w formie gotówkowej, płatności takie dokonywane są z poszanowaniem art. 19 Ustawy z dnia 30 marca 2018 r. Prawo przedsiębiorców lub aktu zastępującego. </w:t>
      </w:r>
    </w:p>
    <w:p w14:paraId="061F3D9E" w14:textId="77777777" w:rsidR="006E6C0F" w:rsidRPr="00A11AF5" w:rsidRDefault="006E6C0F" w:rsidP="000248A4">
      <w:pPr>
        <w:pStyle w:val="Default"/>
        <w:numPr>
          <w:ilvl w:val="0"/>
          <w:numId w:val="6"/>
        </w:numPr>
        <w:spacing w:line="276" w:lineRule="auto"/>
        <w:ind w:left="426" w:hanging="426"/>
        <w:jc w:val="both"/>
        <w:rPr>
          <w:rFonts w:asciiTheme="minorHAnsi" w:hAnsiTheme="minorHAnsi" w:cstheme="minorHAnsi"/>
          <w:b/>
          <w:color w:val="auto"/>
          <w:sz w:val="22"/>
          <w:szCs w:val="22"/>
        </w:rPr>
      </w:pPr>
      <w:r w:rsidRPr="00A11AF5">
        <w:rPr>
          <w:rFonts w:asciiTheme="minorHAnsi" w:hAnsiTheme="minorHAnsi" w:cstheme="minorHAnsi"/>
          <w:sz w:val="22"/>
          <w:szCs w:val="22"/>
        </w:rPr>
        <w:t xml:space="preserve">Wszelka dokumentacja potwierdzająca wydatkowanie środków przez </w:t>
      </w:r>
      <w:r w:rsidR="0069098E" w:rsidRPr="00A11AF5">
        <w:rPr>
          <w:rFonts w:asciiTheme="minorHAnsi" w:hAnsiTheme="minorHAnsi" w:cstheme="minorHAnsi"/>
          <w:sz w:val="22"/>
          <w:szCs w:val="22"/>
        </w:rPr>
        <w:t xml:space="preserve">Pożyczkobiorcę </w:t>
      </w:r>
      <w:r w:rsidRPr="00A11AF5">
        <w:rPr>
          <w:rFonts w:asciiTheme="minorHAnsi" w:hAnsiTheme="minorHAnsi" w:cstheme="minorHAnsi"/>
          <w:sz w:val="22"/>
          <w:szCs w:val="22"/>
        </w:rPr>
        <w:t xml:space="preserve">powinna być, co do zasady, sporządzona w języku polskim, a w przypadku dokumentów wystawianych w języku innym niż język polski, powinna zostać przetłumaczona na język polski przez </w:t>
      </w:r>
      <w:r w:rsidR="0069098E" w:rsidRPr="00A11AF5">
        <w:rPr>
          <w:rFonts w:asciiTheme="minorHAnsi" w:hAnsiTheme="minorHAnsi" w:cstheme="minorHAnsi"/>
          <w:sz w:val="22"/>
          <w:szCs w:val="22"/>
        </w:rPr>
        <w:t xml:space="preserve">Pożyczkobiorcę </w:t>
      </w:r>
      <w:r w:rsidRPr="00A11AF5">
        <w:rPr>
          <w:rFonts w:asciiTheme="minorHAnsi" w:hAnsiTheme="minorHAnsi" w:cstheme="minorHAnsi"/>
          <w:sz w:val="22"/>
          <w:szCs w:val="22"/>
        </w:rPr>
        <w:t>lub na jego zlecenie.</w:t>
      </w:r>
    </w:p>
    <w:p w14:paraId="778B8B72" w14:textId="77777777" w:rsidR="000248A4" w:rsidRDefault="000248A4" w:rsidP="000248A4">
      <w:pPr>
        <w:pStyle w:val="Akapitzlist"/>
        <w:spacing w:after="0"/>
        <w:ind w:left="0"/>
        <w:contextualSpacing w:val="0"/>
        <w:jc w:val="both"/>
        <w:rPr>
          <w:b/>
        </w:rPr>
      </w:pPr>
    </w:p>
    <w:p w14:paraId="3F718555" w14:textId="77777777" w:rsidR="005D1585" w:rsidRDefault="005D1585" w:rsidP="000248A4">
      <w:pPr>
        <w:pStyle w:val="Akapitzlist"/>
        <w:numPr>
          <w:ilvl w:val="0"/>
          <w:numId w:val="2"/>
        </w:numPr>
        <w:spacing w:after="0"/>
        <w:ind w:left="426" w:hanging="426"/>
        <w:contextualSpacing w:val="0"/>
        <w:jc w:val="both"/>
        <w:rPr>
          <w:b/>
        </w:rPr>
      </w:pPr>
      <w:r>
        <w:rPr>
          <w:b/>
        </w:rPr>
        <w:t>Cesja wierzytelności i zabezpieczeń</w:t>
      </w:r>
    </w:p>
    <w:p w14:paraId="0114DD88" w14:textId="77777777" w:rsidR="005D1585" w:rsidRDefault="005D1585" w:rsidP="000248A4">
      <w:pPr>
        <w:pStyle w:val="Akapitzlist"/>
        <w:numPr>
          <w:ilvl w:val="0"/>
          <w:numId w:val="4"/>
        </w:numPr>
        <w:spacing w:after="0"/>
        <w:ind w:left="426"/>
        <w:jc w:val="both"/>
      </w:pPr>
      <w:r>
        <w:lastRenderedPageBreak/>
        <w:t xml:space="preserve">Pożyczkobiorca przyjmuje do wiadomości, że Pożyczkodawca dokonał przelewu na rzecz </w:t>
      </w:r>
      <w:r w:rsidR="00622CCB">
        <w:t>Województwa Warmińsko-Mazurskiego</w:t>
      </w:r>
      <w:r>
        <w:t xml:space="preserve"> wierzytelności Pożyczkodawcy z tytułu zawartej przez Pożyczkobiorcę umowy pożyczki oraz ustanowionych przez niego zabezpieczeń.</w:t>
      </w:r>
    </w:p>
    <w:p w14:paraId="1883611B" w14:textId="77777777" w:rsidR="005D1585" w:rsidRDefault="005D1585" w:rsidP="000248A4">
      <w:pPr>
        <w:pStyle w:val="Akapitzlist"/>
        <w:numPr>
          <w:ilvl w:val="0"/>
          <w:numId w:val="4"/>
        </w:numPr>
        <w:spacing w:after="0"/>
        <w:ind w:left="426"/>
        <w:jc w:val="both"/>
      </w:pPr>
      <w:r>
        <w:t xml:space="preserve">Przelew wierzytelności Pożyczkobiorcy na rzecz </w:t>
      </w:r>
      <w:r w:rsidR="00622CCB">
        <w:t>Województwa Warmińsko-Mazurskiego</w:t>
      </w:r>
      <w:r>
        <w:t xml:space="preserve"> dokonany został z</w:t>
      </w:r>
      <w:r w:rsidR="00C36827">
        <w:t> </w:t>
      </w:r>
      <w:r>
        <w:t xml:space="preserve">tzw. warunkiem zawieszającym, tj. skutek prawny tego przelewu, wystąpi z chwilą zajścia okoliczności określonych w umowie zawartej pomiędzy Pożyczkodawcą a </w:t>
      </w:r>
      <w:r w:rsidR="00622CCB">
        <w:t>Województwem Warmińsko-Mazurskim</w:t>
      </w:r>
      <w:r>
        <w:t xml:space="preserve">, o czym Pożyczkobiorca poinformowany zostanie przez Pożyczkodawcę lub </w:t>
      </w:r>
      <w:r w:rsidRPr="00D6531C">
        <w:t xml:space="preserve">przez </w:t>
      </w:r>
      <w:r w:rsidR="00D6531C" w:rsidRPr="00D6531C">
        <w:t>Województwo Warmińsko-Mazurskie</w:t>
      </w:r>
      <w:r w:rsidR="00A11AF5">
        <w:t xml:space="preserve"> lub Warmińsko-Mazurską Agencje Rozwoju Regionalnego S.A. w Olsztynie działającą w imieniu ni na rzecz Województwa,</w:t>
      </w:r>
      <w:r>
        <w:t xml:space="preserve"> w drodze pisemnej.</w:t>
      </w:r>
    </w:p>
    <w:p w14:paraId="03311338" w14:textId="2DEF3577" w:rsidR="005D1585" w:rsidRDefault="005D1585" w:rsidP="000248A4">
      <w:pPr>
        <w:pStyle w:val="Akapitzlist"/>
        <w:numPr>
          <w:ilvl w:val="0"/>
          <w:numId w:val="4"/>
        </w:numPr>
        <w:spacing w:after="0"/>
        <w:ind w:left="426"/>
        <w:jc w:val="both"/>
      </w:pPr>
      <w:r>
        <w:t>Zawiadomienie</w:t>
      </w:r>
      <w:r w:rsidR="000A64F0">
        <w:t>,</w:t>
      </w:r>
      <w:r>
        <w:t xml:space="preserve"> o którym mowa w pkt. 2 powyżej zawierało będzie informacje dotyczące w</w:t>
      </w:r>
      <w:r w:rsidR="00C36827">
        <w:t> </w:t>
      </w:r>
      <w:r>
        <w:t>szczególności obowiązku spłaty przez Pożyczkobiorcę rat kapitałowych i odsetek wynikających z</w:t>
      </w:r>
      <w:r w:rsidR="00C36827">
        <w:t> </w:t>
      </w:r>
      <w:r>
        <w:t xml:space="preserve">harmonogramu spłat jak i innych płatności wynikających z umowy pożyczki, na nowy rachunek wskazany przez </w:t>
      </w:r>
      <w:r w:rsidR="006A640C">
        <w:t>Województwo Warmińsko-Mazurskie</w:t>
      </w:r>
      <w:r>
        <w:t>.</w:t>
      </w:r>
    </w:p>
    <w:p w14:paraId="0CBAF21F" w14:textId="77777777" w:rsidR="005D1585" w:rsidRPr="005D1585" w:rsidRDefault="006A640C" w:rsidP="000248A4">
      <w:pPr>
        <w:pStyle w:val="Akapitzlist"/>
        <w:numPr>
          <w:ilvl w:val="0"/>
          <w:numId w:val="4"/>
        </w:numPr>
        <w:spacing w:after="0"/>
        <w:ind w:left="426"/>
        <w:jc w:val="both"/>
      </w:pPr>
      <w:r>
        <w:t>Województwo Warmińsko-Mazurskie</w:t>
      </w:r>
      <w:r w:rsidR="005D1585">
        <w:t xml:space="preserve"> ma prawo do dokonania dalszych przelewów wymienionych powyżej wierzytelności wraz z zabezpieczeniami na inny podmiot.</w:t>
      </w:r>
    </w:p>
    <w:p w14:paraId="7AE755E1" w14:textId="77777777" w:rsidR="005D1585" w:rsidRPr="00527E4F" w:rsidRDefault="005D1585" w:rsidP="000248A4">
      <w:pPr>
        <w:pStyle w:val="Akapitzlist"/>
        <w:spacing w:after="0"/>
        <w:ind w:left="0"/>
        <w:contextualSpacing w:val="0"/>
        <w:jc w:val="both"/>
        <w:rPr>
          <w:b/>
          <w:sz w:val="20"/>
        </w:rPr>
      </w:pPr>
    </w:p>
    <w:p w14:paraId="17D6A449" w14:textId="77777777" w:rsidR="00EC07BB" w:rsidRPr="007A7267" w:rsidRDefault="00EC07BB" w:rsidP="000248A4">
      <w:pPr>
        <w:pStyle w:val="Akapitzlist"/>
        <w:keepNext/>
        <w:numPr>
          <w:ilvl w:val="0"/>
          <w:numId w:val="2"/>
        </w:numPr>
        <w:spacing w:after="0"/>
        <w:contextualSpacing w:val="0"/>
        <w:jc w:val="both"/>
        <w:rPr>
          <w:b/>
        </w:rPr>
      </w:pPr>
      <w:r w:rsidRPr="007A7267">
        <w:rPr>
          <w:b/>
        </w:rPr>
        <w:t>Przeznaczenie finansowania (Cele Inwestycji)</w:t>
      </w:r>
    </w:p>
    <w:p w14:paraId="206947BC" w14:textId="77777777" w:rsidR="007A7267" w:rsidRPr="007A7267" w:rsidRDefault="00A93F50" w:rsidP="000248A4">
      <w:pPr>
        <w:numPr>
          <w:ilvl w:val="0"/>
          <w:numId w:val="5"/>
        </w:numPr>
        <w:spacing w:after="0"/>
        <w:jc w:val="both"/>
        <w:rPr>
          <w:rFonts w:eastAsia="Times New Roman"/>
          <w:iCs/>
          <w:lang w:eastAsia="pl-PL"/>
        </w:rPr>
      </w:pPr>
      <w:r>
        <w:rPr>
          <w:rFonts w:eastAsia="Times New Roman"/>
          <w:iCs/>
          <w:lang w:eastAsia="pl-PL"/>
        </w:rPr>
        <w:t>W ramach produktu</w:t>
      </w:r>
      <w:r w:rsidR="007A7267" w:rsidRPr="007A7267">
        <w:rPr>
          <w:rFonts w:eastAsia="Times New Roman"/>
          <w:iCs/>
          <w:lang w:eastAsia="pl-PL"/>
        </w:rPr>
        <w:t xml:space="preserve"> finansowane będą inwestycje związane ze wzrostem konkurencyjności MŚP: </w:t>
      </w:r>
    </w:p>
    <w:p w14:paraId="01F1A827" w14:textId="77777777" w:rsidR="007A7267" w:rsidRPr="007A7267" w:rsidRDefault="007A7267" w:rsidP="000248A4">
      <w:pPr>
        <w:numPr>
          <w:ilvl w:val="0"/>
          <w:numId w:val="7"/>
        </w:numPr>
        <w:spacing w:after="0"/>
        <w:jc w:val="both"/>
        <w:rPr>
          <w:rFonts w:eastAsia="Times New Roman"/>
          <w:iCs/>
          <w:lang w:eastAsia="pl-PL"/>
        </w:rPr>
      </w:pPr>
      <w:r w:rsidRPr="007A7267">
        <w:rPr>
          <w:rFonts w:eastAsia="Times New Roman"/>
          <w:iCs/>
          <w:lang w:eastAsia="pl-PL"/>
        </w:rPr>
        <w:t>zakup środków trwałych, w tym maszyny, urządzenia, aparaty, środki transportu z wyłączeniem podgrupy KŚT 741 (według Klasyfikacji Środków Trwałych GUS), narzędzia, przyrządy, wyposażenie, inne ruchomości oraz nieruchomości, przy czym:</w:t>
      </w:r>
    </w:p>
    <w:p w14:paraId="2ECCA421" w14:textId="77777777" w:rsidR="007A7267" w:rsidRPr="007A7267" w:rsidRDefault="007A7267" w:rsidP="000248A4">
      <w:pPr>
        <w:numPr>
          <w:ilvl w:val="0"/>
          <w:numId w:val="8"/>
        </w:numPr>
        <w:spacing w:after="0"/>
        <w:jc w:val="both"/>
        <w:rPr>
          <w:rFonts w:eastAsia="Times New Roman"/>
          <w:iCs/>
          <w:lang w:eastAsia="pl-PL"/>
        </w:rPr>
      </w:pPr>
      <w:r w:rsidRPr="007A7267">
        <w:rPr>
          <w:rFonts w:eastAsia="Times New Roman"/>
          <w:iCs/>
          <w:lang w:eastAsia="pl-PL"/>
        </w:rPr>
        <w:t xml:space="preserve">w ramach Produktu Finansowego Pożyczka Regionalna dla MŚP dopuszcza się finansowanie do wysokości 90% zakupu nieruchomości niezabudowanej / zabudowanej, pod warunkiem, że są one uzasadnione realizacją przedsięwzięcia, w których prowadzona będzie działalność produkcyjna przedsiębiorstwa, rozumiana jako wytwarzanie produktów, świadczenie usług lub obrót towarami, oraz wiążąca się z zastosowaniem zasobów przedsiębiorstwa, takich jak np. urządzenia/maszyny, siła robocza, techniki wytwórcze, sieć informacyjna, materiały, surowce. </w:t>
      </w:r>
    </w:p>
    <w:p w14:paraId="7BC15629" w14:textId="77777777" w:rsidR="007A7267" w:rsidRPr="007A7267" w:rsidRDefault="007A7267" w:rsidP="000248A4">
      <w:pPr>
        <w:spacing w:after="0"/>
        <w:ind w:left="708"/>
        <w:jc w:val="both"/>
        <w:rPr>
          <w:rFonts w:eastAsia="Times New Roman"/>
          <w:iCs/>
          <w:lang w:eastAsia="pl-PL"/>
        </w:rPr>
      </w:pPr>
      <w:r w:rsidRPr="007A7267">
        <w:rPr>
          <w:rFonts w:eastAsia="Times New Roman"/>
          <w:iCs/>
          <w:lang w:eastAsia="pl-PL"/>
        </w:rPr>
        <w:t xml:space="preserve">W ramach inwestycji konieczne jest także finansowanie działań dotyczących danego produktu/usługi mających związek z nabywaną nieruchomością. </w:t>
      </w:r>
    </w:p>
    <w:p w14:paraId="43136160" w14:textId="77777777" w:rsidR="007A7267" w:rsidRPr="007A7267" w:rsidRDefault="007A7267" w:rsidP="000248A4">
      <w:pPr>
        <w:spacing w:after="0"/>
        <w:ind w:left="644"/>
        <w:jc w:val="both"/>
        <w:rPr>
          <w:rFonts w:eastAsia="Times New Roman"/>
          <w:iCs/>
          <w:lang w:eastAsia="pl-PL"/>
        </w:rPr>
      </w:pPr>
      <w:r w:rsidRPr="007A7267">
        <w:rPr>
          <w:rFonts w:eastAsia="Times New Roman"/>
          <w:iCs/>
          <w:lang w:eastAsia="pl-PL"/>
        </w:rPr>
        <w:t>Finansowane mogą być wyłącznie nieruchomości niemające przeznaczenia mieszkalnego</w:t>
      </w:r>
      <w:r w:rsidRPr="007A7267">
        <w:rPr>
          <w:rFonts w:eastAsia="Times New Roman"/>
          <w:iCs/>
          <w:vertAlign w:val="superscript"/>
          <w:lang w:eastAsia="pl-PL"/>
        </w:rPr>
        <w:footnoteReference w:id="1"/>
      </w:r>
      <w:r w:rsidRPr="007A7267">
        <w:rPr>
          <w:rFonts w:eastAsia="Times New Roman"/>
          <w:iCs/>
          <w:lang w:eastAsia="pl-PL"/>
        </w:rPr>
        <w:t xml:space="preserve">, nie przeznaczone do obrotu, nie stanowiące lokaty kapitału., </w:t>
      </w:r>
    </w:p>
    <w:p w14:paraId="598B6ABA" w14:textId="77777777" w:rsidR="007A7267" w:rsidRPr="007A7267" w:rsidRDefault="007A7267" w:rsidP="000248A4">
      <w:pPr>
        <w:numPr>
          <w:ilvl w:val="0"/>
          <w:numId w:val="9"/>
        </w:numPr>
        <w:spacing w:after="0"/>
        <w:jc w:val="both"/>
        <w:rPr>
          <w:rFonts w:eastAsia="Times New Roman"/>
          <w:iCs/>
          <w:lang w:eastAsia="pl-PL"/>
        </w:rPr>
      </w:pPr>
      <w:r w:rsidRPr="007A7267">
        <w:rPr>
          <w:rFonts w:eastAsia="Times New Roman"/>
          <w:iCs/>
          <w:lang w:eastAsia="pl-PL"/>
        </w:rPr>
        <w:t xml:space="preserve">zakup wartości niematerialnych i prawnych, </w:t>
      </w:r>
    </w:p>
    <w:p w14:paraId="548A4D04" w14:textId="77777777" w:rsidR="007A7267" w:rsidRPr="007A7267" w:rsidRDefault="007A7267" w:rsidP="000248A4">
      <w:pPr>
        <w:numPr>
          <w:ilvl w:val="0"/>
          <w:numId w:val="9"/>
        </w:numPr>
        <w:spacing w:after="0"/>
        <w:jc w:val="both"/>
        <w:rPr>
          <w:rFonts w:eastAsia="Times New Roman"/>
          <w:iCs/>
          <w:lang w:eastAsia="pl-PL"/>
        </w:rPr>
      </w:pPr>
      <w:r w:rsidRPr="007A7267">
        <w:rPr>
          <w:rFonts w:eastAsia="Times New Roman"/>
          <w:iCs/>
          <w:lang w:eastAsia="pl-PL"/>
        </w:rPr>
        <w:t xml:space="preserve">zakup usług obcych np. robót budowlanych, remontowych, montażowych i instalacyjnych, usług transportowych, przy czym dopuszcza się finansowanie zakupu usług obcych, pod warunkiem, że są one uzasadnione realizacją przedsięwzięcia, tzn. są związane z inwestycjami w środki trwałe i/lub wartości niematerialne i prawne, o których mowa w ust. 1 </w:t>
      </w:r>
      <w:proofErr w:type="spellStart"/>
      <w:r w:rsidRPr="007A7267">
        <w:rPr>
          <w:rFonts w:eastAsia="Times New Roman"/>
          <w:iCs/>
          <w:lang w:eastAsia="pl-PL"/>
        </w:rPr>
        <w:t>ppkt</w:t>
      </w:r>
      <w:proofErr w:type="spellEnd"/>
      <w:r w:rsidRPr="007A7267">
        <w:rPr>
          <w:rFonts w:eastAsia="Times New Roman"/>
          <w:iCs/>
          <w:lang w:eastAsia="pl-PL"/>
        </w:rPr>
        <w:t>. 1) i 2),</w:t>
      </w:r>
    </w:p>
    <w:p w14:paraId="58B97E6C" w14:textId="77777777" w:rsidR="007A7267" w:rsidRPr="007A7267" w:rsidRDefault="007A7267" w:rsidP="000248A4">
      <w:pPr>
        <w:numPr>
          <w:ilvl w:val="0"/>
          <w:numId w:val="9"/>
        </w:numPr>
        <w:spacing w:after="0"/>
        <w:jc w:val="both"/>
        <w:rPr>
          <w:rFonts w:eastAsia="Times New Roman"/>
          <w:iCs/>
          <w:lang w:eastAsia="pl-PL"/>
        </w:rPr>
      </w:pPr>
      <w:r w:rsidRPr="007A7267">
        <w:rPr>
          <w:rFonts w:eastAsia="Times New Roman"/>
          <w:iCs/>
          <w:lang w:eastAsia="pl-PL"/>
        </w:rPr>
        <w:t>zakup środków obrotowych (kapitał obrotowy) w postaci zapasów, towarów, materiałów, produktów gotowych, półproduktów, produktów w toku, zaliczek na dostawy krótkoterminowe – do wysokości 30% Jednostkowej Pożyczki, przy czym przeznaczenie kapitału obrotowego musi być bezpośrednio związane z realizacją przedsięwzięcia rozwojowego, na które zostało przyznane finansowanie.</w:t>
      </w:r>
    </w:p>
    <w:p w14:paraId="5F33EB9F" w14:textId="36801279" w:rsidR="007A7267" w:rsidRPr="007A7267" w:rsidRDefault="007A7267" w:rsidP="000248A4">
      <w:pPr>
        <w:numPr>
          <w:ilvl w:val="0"/>
          <w:numId w:val="5"/>
        </w:numPr>
        <w:spacing w:after="0"/>
        <w:jc w:val="both"/>
        <w:rPr>
          <w:rFonts w:eastAsia="Times New Roman"/>
          <w:iCs/>
          <w:lang w:eastAsia="pl-PL"/>
        </w:rPr>
      </w:pPr>
      <w:r w:rsidRPr="007A7267">
        <w:rPr>
          <w:rFonts w:eastAsia="Times New Roman"/>
          <w:iCs/>
          <w:lang w:eastAsia="pl-PL"/>
        </w:rPr>
        <w:t xml:space="preserve">W uzasadnionych przypadkach i na wniosek Ostatecznego Odbiorcy, Pośrednik Finansowy może zmienić przeznaczenie już udzielonej Jednostkowej Pożyczki, pod warunkiem, </w:t>
      </w:r>
      <w:r w:rsidR="000A64F0">
        <w:rPr>
          <w:rFonts w:eastAsia="Times New Roman"/>
          <w:iCs/>
          <w:lang w:eastAsia="pl-PL"/>
        </w:rPr>
        <w:t>ż</w:t>
      </w:r>
      <w:r w:rsidRPr="007A7267">
        <w:rPr>
          <w:rFonts w:eastAsia="Times New Roman"/>
          <w:iCs/>
          <w:lang w:eastAsia="pl-PL"/>
        </w:rPr>
        <w:t>e zmiana przedmiotu finansowania nie wpłynie na zmianę celu przedsięwzięcia opisanego we wniosku o udzielenie pożyczki.</w:t>
      </w:r>
    </w:p>
    <w:p w14:paraId="65E30C4D" w14:textId="77777777" w:rsidR="007A7267" w:rsidRPr="007A7267" w:rsidRDefault="007A7267" w:rsidP="009B7A27">
      <w:pPr>
        <w:numPr>
          <w:ilvl w:val="0"/>
          <w:numId w:val="5"/>
        </w:numPr>
        <w:spacing w:after="0"/>
        <w:jc w:val="both"/>
        <w:rPr>
          <w:rFonts w:eastAsia="Times New Roman"/>
          <w:iCs/>
          <w:lang w:eastAsia="pl-PL"/>
        </w:rPr>
      </w:pPr>
      <w:r w:rsidRPr="007A7267">
        <w:rPr>
          <w:rFonts w:eastAsia="Times New Roman"/>
          <w:iCs/>
          <w:lang w:eastAsia="pl-PL"/>
        </w:rPr>
        <w:t>Jednostkowa Pożyczka może finansować:</w:t>
      </w:r>
    </w:p>
    <w:p w14:paraId="525BC222" w14:textId="77777777" w:rsidR="007A7267" w:rsidRPr="007A7267" w:rsidRDefault="007A7267" w:rsidP="009B7A27">
      <w:pPr>
        <w:numPr>
          <w:ilvl w:val="0"/>
          <w:numId w:val="10"/>
        </w:numPr>
        <w:spacing w:after="0"/>
        <w:jc w:val="both"/>
        <w:rPr>
          <w:rFonts w:eastAsia="Times New Roman"/>
          <w:iCs/>
          <w:lang w:eastAsia="pl-PL"/>
        </w:rPr>
      </w:pPr>
      <w:r w:rsidRPr="007A7267">
        <w:rPr>
          <w:rFonts w:eastAsia="Times New Roman"/>
          <w:iCs/>
          <w:lang w:eastAsia="pl-PL"/>
        </w:rPr>
        <w:lastRenderedPageBreak/>
        <w:t>do 100% wydatków w ramach Inwestycji Ostatecznego Odbiorcy – dla pożyczek do 500.000,00 zł, co oznacza, że wkład własny Ostatecznego Odbiorcy nie jest wymagany, z zastrzeżeniem pkt. V.1.1 a,</w:t>
      </w:r>
    </w:p>
    <w:p w14:paraId="25337C3A" w14:textId="77777777" w:rsidR="007A7267" w:rsidRPr="007A7267" w:rsidRDefault="007A7267" w:rsidP="009B7A27">
      <w:pPr>
        <w:numPr>
          <w:ilvl w:val="0"/>
          <w:numId w:val="10"/>
        </w:numPr>
        <w:spacing w:after="0"/>
        <w:jc w:val="both"/>
        <w:rPr>
          <w:rFonts w:eastAsia="Times New Roman"/>
          <w:iCs/>
          <w:lang w:eastAsia="pl-PL"/>
        </w:rPr>
      </w:pPr>
      <w:r w:rsidRPr="007A7267">
        <w:rPr>
          <w:rFonts w:eastAsia="Times New Roman"/>
          <w:iCs/>
          <w:lang w:eastAsia="pl-PL"/>
        </w:rPr>
        <w:t>do 80% wydatków w ramach Inwestycji Ostatecznego Odbiorcy – dla pożyczek powyżej 500.000,00 zł, co oznacza, że minimalny wkład własny Odbiorcy Ostatecznego wynosi 20%.</w:t>
      </w:r>
    </w:p>
    <w:p w14:paraId="433189CC" w14:textId="77777777" w:rsidR="007A7267" w:rsidRPr="007A7267" w:rsidRDefault="007A7267" w:rsidP="009B7A27">
      <w:pPr>
        <w:numPr>
          <w:ilvl w:val="0"/>
          <w:numId w:val="5"/>
        </w:numPr>
        <w:spacing w:after="0"/>
        <w:jc w:val="both"/>
        <w:rPr>
          <w:rFonts w:eastAsia="Times New Roman"/>
          <w:iCs/>
          <w:lang w:eastAsia="pl-PL"/>
        </w:rPr>
      </w:pPr>
      <w:r w:rsidRPr="007A7267">
        <w:rPr>
          <w:rFonts w:eastAsia="Times New Roman"/>
          <w:iCs/>
          <w:lang w:eastAsia="pl-PL"/>
        </w:rPr>
        <w:t>Z Jednostkowej Pożyczki finansowane są wydatki w kwotach brutto tj. z podatkiem VAT, bez względu na to czy Ostateczny Odbiorca ma prawną możliwość odzyskania naliczonego podatku VAT.</w:t>
      </w:r>
    </w:p>
    <w:p w14:paraId="5E8030F2" w14:textId="77777777" w:rsidR="007A7267" w:rsidRPr="007A7267" w:rsidRDefault="007A7267" w:rsidP="009B7A27">
      <w:pPr>
        <w:numPr>
          <w:ilvl w:val="0"/>
          <w:numId w:val="5"/>
        </w:numPr>
        <w:spacing w:after="0"/>
        <w:jc w:val="both"/>
        <w:rPr>
          <w:rFonts w:eastAsia="Times New Roman"/>
          <w:iCs/>
          <w:lang w:eastAsia="pl-PL"/>
        </w:rPr>
      </w:pPr>
      <w:r w:rsidRPr="007A7267">
        <w:rPr>
          <w:rFonts w:eastAsia="Times New Roman"/>
          <w:iCs/>
          <w:lang w:eastAsia="pl-PL"/>
        </w:rPr>
        <w:t>Pośrednik Finansowy odpowiedzialny jest za zobowiązanie Odbiorcy Ostatecznego do przestrzegania zasad dotyczących unikania nakładania się finansowania przyznanego na podstawie Umowy Inwestycyjnej, z innych funduszy, programów, środków i instrumentów Unii Europejskiej, a także innych źródeł pomocy krajowej i zagranicznej.</w:t>
      </w:r>
    </w:p>
    <w:p w14:paraId="76E2ABF2" w14:textId="77777777" w:rsidR="000F0392" w:rsidRPr="00527E4F" w:rsidRDefault="000F0392" w:rsidP="007A7267">
      <w:pPr>
        <w:spacing w:after="0"/>
        <w:jc w:val="both"/>
        <w:rPr>
          <w:sz w:val="20"/>
        </w:rPr>
      </w:pPr>
    </w:p>
    <w:p w14:paraId="70EB62AA" w14:textId="77777777" w:rsidR="00614CDD" w:rsidRPr="006B26B1" w:rsidRDefault="00614CDD" w:rsidP="009B7A27">
      <w:pPr>
        <w:pStyle w:val="Akapitzlist"/>
        <w:numPr>
          <w:ilvl w:val="0"/>
          <w:numId w:val="2"/>
        </w:numPr>
        <w:spacing w:after="0"/>
        <w:ind w:left="426" w:hanging="426"/>
        <w:contextualSpacing w:val="0"/>
        <w:jc w:val="both"/>
        <w:rPr>
          <w:b/>
        </w:rPr>
      </w:pPr>
      <w:r w:rsidRPr="006B26B1">
        <w:rPr>
          <w:b/>
        </w:rPr>
        <w:t>Wykluczenia z finansowania</w:t>
      </w:r>
    </w:p>
    <w:p w14:paraId="1135086D" w14:textId="77777777" w:rsidR="007A7267" w:rsidRPr="007A7267" w:rsidRDefault="007A7267" w:rsidP="009B7A27">
      <w:pPr>
        <w:numPr>
          <w:ilvl w:val="0"/>
          <w:numId w:val="11"/>
        </w:numPr>
        <w:spacing w:after="0"/>
        <w:jc w:val="both"/>
      </w:pPr>
      <w:r w:rsidRPr="007A7267">
        <w:t xml:space="preserve">Środki z Jednostkowej Pożyczki nie mogą być przeznaczone na: </w:t>
      </w:r>
    </w:p>
    <w:p w14:paraId="3A90EA08" w14:textId="77777777" w:rsidR="007A7267" w:rsidRPr="007A7267" w:rsidRDefault="007A7267" w:rsidP="009B7A27">
      <w:pPr>
        <w:numPr>
          <w:ilvl w:val="0"/>
          <w:numId w:val="3"/>
        </w:numPr>
        <w:spacing w:after="0"/>
        <w:jc w:val="both"/>
      </w:pPr>
      <w:r w:rsidRPr="007A7267">
        <w:t>finansowanie wydatków pokrytych uprzednio ze środków z innych funduszy, programów, środków i instrumentów Unii Europejskiej lub innych źródeł pomocy krajowej lub zagranicznej,</w:t>
      </w:r>
    </w:p>
    <w:p w14:paraId="646F03BB" w14:textId="77777777" w:rsidR="007A7267" w:rsidRPr="007A7267" w:rsidRDefault="007A7267" w:rsidP="009B7A27">
      <w:pPr>
        <w:numPr>
          <w:ilvl w:val="0"/>
          <w:numId w:val="3"/>
        </w:numPr>
        <w:spacing w:after="0"/>
        <w:jc w:val="both"/>
      </w:pPr>
      <w:r w:rsidRPr="007A7267">
        <w:t>prefinansowanie wydatków, na które otrzymano dofinansowanie w formie dotacji lub pomocy zwrotnej,</w:t>
      </w:r>
    </w:p>
    <w:p w14:paraId="11EEFA13" w14:textId="77777777" w:rsidR="007A7267" w:rsidRPr="007A7267" w:rsidRDefault="007A7267" w:rsidP="009B7A27">
      <w:pPr>
        <w:numPr>
          <w:ilvl w:val="0"/>
          <w:numId w:val="3"/>
        </w:numPr>
        <w:spacing w:after="0"/>
        <w:jc w:val="both"/>
      </w:pPr>
      <w:r w:rsidRPr="007A7267">
        <w:t xml:space="preserve">refinansowanie całości lub części wydatków, które na dzień złożenia wniosku </w:t>
      </w:r>
      <w:r w:rsidRPr="007A7267">
        <w:br/>
        <w:t>o udzielenie Jednostkowej Pożyczki zostały już poniesione (tj. opłacone),</w:t>
      </w:r>
    </w:p>
    <w:p w14:paraId="17FC55EA" w14:textId="77777777" w:rsidR="007A7267" w:rsidRPr="007A7267" w:rsidRDefault="007A7267" w:rsidP="009B7A27">
      <w:pPr>
        <w:numPr>
          <w:ilvl w:val="0"/>
          <w:numId w:val="3"/>
        </w:numPr>
        <w:spacing w:after="0"/>
        <w:jc w:val="both"/>
      </w:pPr>
      <w:r w:rsidRPr="007A7267">
        <w:t>refinansowanie jakichkolwiek pożyczek, kredytów lub rat leasingowych,</w:t>
      </w:r>
    </w:p>
    <w:p w14:paraId="4678AF86" w14:textId="77777777" w:rsidR="007A7267" w:rsidRPr="007A7267" w:rsidRDefault="007A7267" w:rsidP="009B7A27">
      <w:pPr>
        <w:numPr>
          <w:ilvl w:val="0"/>
          <w:numId w:val="3"/>
        </w:numPr>
        <w:spacing w:after="0"/>
        <w:jc w:val="both"/>
      </w:pPr>
      <w:r w:rsidRPr="007A7267">
        <w:t xml:space="preserve">dokonanie spłaty zobowiązań </w:t>
      </w:r>
      <w:proofErr w:type="spellStart"/>
      <w:r w:rsidRPr="007A7267">
        <w:t>publiczno</w:t>
      </w:r>
      <w:proofErr w:type="spellEnd"/>
      <w:r w:rsidRPr="007A7267">
        <w:t xml:space="preserve"> - prawnych Ostatecznego Odbiorcy,</w:t>
      </w:r>
    </w:p>
    <w:p w14:paraId="1EF28664" w14:textId="77777777" w:rsidR="007A7267" w:rsidRPr="007A7267" w:rsidRDefault="007A7267" w:rsidP="009B7A27">
      <w:pPr>
        <w:numPr>
          <w:ilvl w:val="0"/>
          <w:numId w:val="3"/>
        </w:numPr>
        <w:spacing w:after="0"/>
        <w:jc w:val="both"/>
      </w:pPr>
      <w:r w:rsidRPr="007A7267">
        <w:t xml:space="preserve">finansowanie wydatków niezwiązanych bezpośrednio z Celem Inwestycji określonym </w:t>
      </w:r>
      <w:r w:rsidRPr="007A7267">
        <w:br/>
        <w:t xml:space="preserve">w pkt. </w:t>
      </w:r>
      <w:r w:rsidR="00DC6523">
        <w:t>I</w:t>
      </w:r>
      <w:r w:rsidRPr="007A7267">
        <w:t>V,</w:t>
      </w:r>
    </w:p>
    <w:p w14:paraId="591A7495" w14:textId="77777777" w:rsidR="007A7267" w:rsidRPr="007A7267" w:rsidRDefault="007A7267" w:rsidP="009B7A27">
      <w:pPr>
        <w:numPr>
          <w:ilvl w:val="0"/>
          <w:numId w:val="3"/>
        </w:numPr>
        <w:spacing w:after="0"/>
        <w:jc w:val="both"/>
      </w:pPr>
      <w:r w:rsidRPr="007A7267">
        <w:t>finansowanie zakupu aktywów finansowych przeznaczonych do obrotu,</w:t>
      </w:r>
    </w:p>
    <w:p w14:paraId="66F75231" w14:textId="77777777" w:rsidR="007A7267" w:rsidRPr="007A7267" w:rsidRDefault="007A7267" w:rsidP="009B7A27">
      <w:pPr>
        <w:numPr>
          <w:ilvl w:val="0"/>
          <w:numId w:val="3"/>
        </w:numPr>
        <w:spacing w:after="0"/>
        <w:jc w:val="both"/>
      </w:pPr>
      <w:r w:rsidRPr="007A7267">
        <w:t>finansowanie zakupu nieruchomości przeznaczonych do obrotu lub stanowiących lokatę kapitału,</w:t>
      </w:r>
    </w:p>
    <w:p w14:paraId="39190861" w14:textId="77777777" w:rsidR="007A7267" w:rsidRPr="007A7267" w:rsidRDefault="007A7267" w:rsidP="009B7A27">
      <w:pPr>
        <w:numPr>
          <w:ilvl w:val="0"/>
          <w:numId w:val="3"/>
        </w:numPr>
        <w:spacing w:after="0"/>
        <w:jc w:val="both"/>
      </w:pPr>
      <w:r w:rsidRPr="007A7267">
        <w:t>finansowanie zakupu nieruchomości mających przeznaczenie mieszkalne,</w:t>
      </w:r>
    </w:p>
    <w:p w14:paraId="10633E45" w14:textId="77777777" w:rsidR="007A7267" w:rsidRPr="007A7267" w:rsidRDefault="007A7267" w:rsidP="009B7A27">
      <w:pPr>
        <w:numPr>
          <w:ilvl w:val="0"/>
          <w:numId w:val="3"/>
        </w:numPr>
        <w:spacing w:after="0"/>
        <w:jc w:val="both"/>
      </w:pPr>
      <w:r w:rsidRPr="007A7267">
        <w:t xml:space="preserve">finansowanie środków transportu z </w:t>
      </w:r>
      <w:r w:rsidRPr="007A7267">
        <w:rPr>
          <w:iCs/>
        </w:rPr>
        <w:t>podgrupy KŚT 741 (według Klasyfikacji Środków Trwałych GUS)</w:t>
      </w:r>
      <w:r w:rsidRPr="007A7267">
        <w:t>,</w:t>
      </w:r>
    </w:p>
    <w:p w14:paraId="4A58860D" w14:textId="77777777" w:rsidR="007A7267" w:rsidRPr="007A7267" w:rsidRDefault="007A7267" w:rsidP="009B7A27">
      <w:pPr>
        <w:numPr>
          <w:ilvl w:val="0"/>
          <w:numId w:val="3"/>
        </w:numPr>
        <w:spacing w:after="0"/>
        <w:jc w:val="both"/>
      </w:pPr>
      <w:r w:rsidRPr="007A7267">
        <w:t>finansowanie kształcenia, szkolenia, szkolenia zawodowego pracowników lub innych przedsięwzięć bezpośrednio objętych zakresem rozporządzenia Parlamentu Europejskiego i Rady (UE) nr 1304/2013 w sprawie Europejskiego Funduszu Społecznego;</w:t>
      </w:r>
    </w:p>
    <w:p w14:paraId="411B8846" w14:textId="34D45836" w:rsidR="007A7267" w:rsidRPr="007A7267" w:rsidRDefault="007A7267" w:rsidP="009B7A27">
      <w:pPr>
        <w:numPr>
          <w:ilvl w:val="0"/>
          <w:numId w:val="3"/>
        </w:numPr>
        <w:spacing w:after="0"/>
        <w:jc w:val="both"/>
      </w:pPr>
      <w:r w:rsidRPr="007A7267">
        <w:t>finansowanie działalności w zakresie wytwarzania,</w:t>
      </w:r>
      <w:r w:rsidR="005C5CFF">
        <w:t xml:space="preserve"> przetwórstwa lub wprowadzania </w:t>
      </w:r>
      <w:r w:rsidRPr="007A7267">
        <w:t>do obrotu przez producenta lub importera tytoniu i wyrobów tytoniowych,</w:t>
      </w:r>
    </w:p>
    <w:p w14:paraId="5847C051" w14:textId="77777777" w:rsidR="007A7267" w:rsidRPr="007A7267" w:rsidRDefault="007A7267" w:rsidP="009B7A27">
      <w:pPr>
        <w:numPr>
          <w:ilvl w:val="0"/>
          <w:numId w:val="3"/>
        </w:numPr>
        <w:spacing w:after="0"/>
        <w:jc w:val="both"/>
      </w:pPr>
      <w:r w:rsidRPr="007A7267">
        <w:t>finansowanie działalności w zakresie produkcji lub wprowadzania do obrotu przez producenta lub importera treści pornograficznych,</w:t>
      </w:r>
    </w:p>
    <w:p w14:paraId="53A9C9ED" w14:textId="77777777" w:rsidR="007A7267" w:rsidRPr="007A7267" w:rsidRDefault="007A7267" w:rsidP="009B7A27">
      <w:pPr>
        <w:numPr>
          <w:ilvl w:val="0"/>
          <w:numId w:val="3"/>
        </w:numPr>
        <w:spacing w:after="0"/>
        <w:jc w:val="both"/>
      </w:pPr>
      <w:r w:rsidRPr="007A7267">
        <w:t>finansowanie działalności w zakresie obrotu m</w:t>
      </w:r>
      <w:r w:rsidR="005C5CFF">
        <w:t xml:space="preserve">ateriałami wybuchowymi, bronią </w:t>
      </w:r>
      <w:r w:rsidRPr="007A7267">
        <w:t>i amunicją,</w:t>
      </w:r>
    </w:p>
    <w:p w14:paraId="33B47585" w14:textId="77777777" w:rsidR="007A7267" w:rsidRPr="007A7267" w:rsidRDefault="007A7267" w:rsidP="009B7A27">
      <w:pPr>
        <w:numPr>
          <w:ilvl w:val="0"/>
          <w:numId w:val="3"/>
        </w:numPr>
        <w:spacing w:after="0"/>
        <w:jc w:val="both"/>
      </w:pPr>
      <w:r w:rsidRPr="007A7267">
        <w:t>finansowanie działalności w zakresie gier losowych, zakładów wzajemnych, gier na automatach i gier na automatach o niskich wygranych,</w:t>
      </w:r>
    </w:p>
    <w:p w14:paraId="2D0D42CA" w14:textId="77777777" w:rsidR="007A7267" w:rsidRPr="007A7267" w:rsidRDefault="007A7267" w:rsidP="009B7A27">
      <w:pPr>
        <w:numPr>
          <w:ilvl w:val="0"/>
          <w:numId w:val="3"/>
        </w:numPr>
        <w:spacing w:after="0"/>
        <w:jc w:val="both"/>
      </w:pPr>
      <w:r w:rsidRPr="007A7267">
        <w:t>finansowanie działalności w zakresie produkcji lub wprowadzania do obrotu przez producenta lub importera środków odurzających, substancji psychotropowych lub prekursorów,</w:t>
      </w:r>
    </w:p>
    <w:p w14:paraId="70C80031" w14:textId="77777777" w:rsidR="007A7267" w:rsidRPr="007A7267" w:rsidRDefault="007A7267" w:rsidP="009B7A27">
      <w:pPr>
        <w:numPr>
          <w:ilvl w:val="0"/>
          <w:numId w:val="3"/>
        </w:numPr>
        <w:spacing w:after="0"/>
        <w:jc w:val="both"/>
      </w:pPr>
      <w:r w:rsidRPr="007A7267">
        <w:t>finansowanie likwidacji lub budowy elektrowni jądrowych,</w:t>
      </w:r>
    </w:p>
    <w:p w14:paraId="43BC5C93" w14:textId="77777777" w:rsidR="007A7267" w:rsidRPr="007A7267" w:rsidRDefault="007A7267" w:rsidP="009B7A27">
      <w:pPr>
        <w:numPr>
          <w:ilvl w:val="0"/>
          <w:numId w:val="3"/>
        </w:numPr>
        <w:spacing w:after="0"/>
        <w:jc w:val="both"/>
      </w:pPr>
      <w:r w:rsidRPr="007A7267">
        <w:t>finansowanie inwestycji na rzecz redukcji emisji gazów cieplarnianych pochodzących z listy działań wymienionych w załączniku I do dyrektywy 2003/87/WE,</w:t>
      </w:r>
    </w:p>
    <w:p w14:paraId="2C384826" w14:textId="77777777" w:rsidR="007A7267" w:rsidRPr="007A7267" w:rsidRDefault="007A7267" w:rsidP="009B7A27">
      <w:pPr>
        <w:numPr>
          <w:ilvl w:val="0"/>
          <w:numId w:val="3"/>
        </w:numPr>
        <w:spacing w:after="0"/>
        <w:jc w:val="both"/>
      </w:pPr>
      <w:r w:rsidRPr="007A7267" w:rsidDel="00955C73">
        <w:t xml:space="preserve"> </w:t>
      </w:r>
      <w:r w:rsidRPr="007A7267">
        <w:t>finansowanie inwestycji w infrastrukturę portów lotniczych, chyba że są one związane z ochroną środowiska lub towarzyszą im inwestycje niezbędne do łagodzenia lub ograniczenia ich negatywnego oddziaływania na środowisko,</w:t>
      </w:r>
    </w:p>
    <w:p w14:paraId="06349DFE" w14:textId="77777777" w:rsidR="007A7267" w:rsidRPr="007A7267" w:rsidRDefault="007A7267" w:rsidP="009B7A27">
      <w:pPr>
        <w:numPr>
          <w:ilvl w:val="0"/>
          <w:numId w:val="3"/>
        </w:numPr>
        <w:spacing w:after="0"/>
        <w:jc w:val="both"/>
      </w:pPr>
      <w:r w:rsidRPr="007A7267">
        <w:lastRenderedPageBreak/>
        <w:t>finansowanie przedsięwzięć realizowanych przez podmioty znajdujące się na l</w:t>
      </w:r>
      <w:r w:rsidRPr="007A7267">
        <w:rPr>
          <w:bCs/>
        </w:rPr>
        <w:t>iście osób i podmiotów objętych sankcjami w związku z wojną w Ukrainie, zamieszczonej na stronie Ministerstwa Spraw Wewnętrznych i Administracji.</w:t>
      </w:r>
    </w:p>
    <w:p w14:paraId="2B9DD7FD" w14:textId="77777777" w:rsidR="00EC07BB" w:rsidRPr="00527E4F" w:rsidRDefault="00EC07BB" w:rsidP="007A7267">
      <w:pPr>
        <w:spacing w:after="120"/>
        <w:jc w:val="both"/>
        <w:rPr>
          <w:sz w:val="18"/>
        </w:rPr>
      </w:pPr>
    </w:p>
    <w:p w14:paraId="6173E005" w14:textId="77777777" w:rsidR="00C94198" w:rsidRPr="00F854F4" w:rsidRDefault="00C94198" w:rsidP="000248A4">
      <w:pPr>
        <w:pStyle w:val="Akapitzlist"/>
        <w:numPr>
          <w:ilvl w:val="0"/>
          <w:numId w:val="2"/>
        </w:numPr>
        <w:spacing w:after="0"/>
        <w:ind w:left="426" w:hanging="426"/>
        <w:contextualSpacing w:val="0"/>
        <w:jc w:val="both"/>
        <w:rPr>
          <w:b/>
        </w:rPr>
      </w:pPr>
      <w:r w:rsidRPr="00F854F4">
        <w:rPr>
          <w:b/>
        </w:rPr>
        <w:t>Ograniczenia w finansowaniu</w:t>
      </w:r>
    </w:p>
    <w:p w14:paraId="35661B39" w14:textId="77777777" w:rsidR="007A7267" w:rsidRPr="007A7267" w:rsidRDefault="007A7267" w:rsidP="000248A4">
      <w:pPr>
        <w:pStyle w:val="Akapitzlist"/>
        <w:numPr>
          <w:ilvl w:val="0"/>
          <w:numId w:val="12"/>
        </w:numPr>
        <w:spacing w:after="0"/>
        <w:jc w:val="both"/>
        <w:rPr>
          <w:rFonts w:cstheme="minorHAnsi"/>
        </w:rPr>
      </w:pPr>
      <w:r w:rsidRPr="007A7267">
        <w:rPr>
          <w:rFonts w:cstheme="minorHAnsi"/>
        </w:rPr>
        <w:t>Finansowanie zakupu nieruchomości niezabudowanej/zabudowanej w ramach finansowanej inwestycji możliwe jest do wysokości 90% środków wypłaconych na rzecz Ostatecznego Odbiorcy. W ramach inwestycji konieczne jest także finansowanie 10% działań dotyczących danego produktu/usługi mających związek z nieruchomością.</w:t>
      </w:r>
    </w:p>
    <w:p w14:paraId="292F39C4" w14:textId="5148DF57" w:rsidR="007A7267" w:rsidRPr="007A7267" w:rsidRDefault="007A7267" w:rsidP="009B7A27">
      <w:pPr>
        <w:pStyle w:val="Akapitzlist"/>
        <w:numPr>
          <w:ilvl w:val="0"/>
          <w:numId w:val="12"/>
        </w:numPr>
        <w:spacing w:after="0"/>
        <w:contextualSpacing w:val="0"/>
        <w:jc w:val="both"/>
        <w:rPr>
          <w:rFonts w:cstheme="minorHAnsi"/>
        </w:rPr>
      </w:pPr>
      <w:r w:rsidRPr="007A7267">
        <w:rPr>
          <w:rFonts w:cstheme="minorHAnsi"/>
        </w:rPr>
        <w:t>Finansowanie aktywów obrotowych jest możliwe wyłącznie do wysokości nie większej niż 30% Jednostkowej Pożyczki, przy czym ich przeznaczenie jest bezpośrednio związane z realizacją przedsięwzięcia rozwojowego, na które zostało przyznane finansowanie.</w:t>
      </w:r>
    </w:p>
    <w:p w14:paraId="13C7E8CD" w14:textId="77777777" w:rsidR="007A7267" w:rsidRPr="007A7267" w:rsidRDefault="007A7267" w:rsidP="009B7A27">
      <w:pPr>
        <w:pStyle w:val="Akapitzlist"/>
        <w:numPr>
          <w:ilvl w:val="0"/>
          <w:numId w:val="12"/>
        </w:numPr>
        <w:spacing w:after="0"/>
        <w:contextualSpacing w:val="0"/>
        <w:jc w:val="both"/>
        <w:rPr>
          <w:rFonts w:cstheme="minorHAnsi"/>
        </w:rPr>
      </w:pPr>
      <w:r w:rsidRPr="007A7267">
        <w:rPr>
          <w:rFonts w:cstheme="minorHAnsi"/>
        </w:rPr>
        <w:t>Jeden Ostateczny Odbiorca może otrzymać w ramach przyznanego Limitu Pożyczki Regionalnej dla MŚP więcej niż jedną Jednostkową Pożyczkę. Łączna wartość Jednostkowych Pożyczek udzielonych jednemu Ostatecznemu Odbiorcy w ramach Umowy nie może przekroczyć 1.000.000,00 zł. Udzielenie kolejnej Jednostkowej Pożyczki możliwe jest wyłącznie po całkowitym rozliczeniu poprzedniej Jednostkowej Pożyczki.</w:t>
      </w:r>
    </w:p>
    <w:p w14:paraId="773AB6B8" w14:textId="77777777" w:rsidR="005F3EAE" w:rsidRPr="00527E4F" w:rsidRDefault="005F3EAE" w:rsidP="007A7267">
      <w:pPr>
        <w:spacing w:after="120"/>
        <w:ind w:left="426" w:hanging="426"/>
        <w:jc w:val="both"/>
        <w:rPr>
          <w:b/>
          <w:sz w:val="20"/>
          <w:highlight w:val="yellow"/>
        </w:rPr>
      </w:pPr>
      <w:bookmarkStart w:id="0" w:name="_GoBack"/>
      <w:bookmarkEnd w:id="0"/>
    </w:p>
    <w:p w14:paraId="22809E2B" w14:textId="77777777" w:rsidR="007A7267" w:rsidRPr="007A7267" w:rsidRDefault="007A7267" w:rsidP="009B7A27">
      <w:pPr>
        <w:pStyle w:val="Default"/>
        <w:numPr>
          <w:ilvl w:val="0"/>
          <w:numId w:val="19"/>
        </w:numPr>
        <w:spacing w:line="276" w:lineRule="auto"/>
        <w:ind w:left="426"/>
        <w:jc w:val="both"/>
        <w:rPr>
          <w:rFonts w:asciiTheme="minorHAnsi" w:hAnsiTheme="minorHAnsi" w:cstheme="minorHAnsi"/>
          <w:b/>
          <w:color w:val="auto"/>
          <w:sz w:val="22"/>
          <w:szCs w:val="22"/>
        </w:rPr>
      </w:pPr>
      <w:r w:rsidRPr="007A7267">
        <w:rPr>
          <w:rFonts w:asciiTheme="minorHAnsi" w:hAnsiTheme="minorHAnsi" w:cstheme="minorHAnsi"/>
          <w:b/>
          <w:bCs/>
          <w:color w:val="auto"/>
          <w:sz w:val="22"/>
          <w:szCs w:val="22"/>
        </w:rPr>
        <w:t xml:space="preserve">Preferencje </w:t>
      </w:r>
    </w:p>
    <w:p w14:paraId="3B408BB2" w14:textId="77777777" w:rsidR="007A7267" w:rsidRPr="007A7267" w:rsidRDefault="007A7267" w:rsidP="007A7267">
      <w:pPr>
        <w:pStyle w:val="Default"/>
        <w:spacing w:line="276" w:lineRule="auto"/>
        <w:ind w:left="851" w:hanging="425"/>
        <w:jc w:val="both"/>
        <w:rPr>
          <w:rFonts w:asciiTheme="minorHAnsi" w:hAnsiTheme="minorHAnsi" w:cstheme="minorHAnsi"/>
          <w:b/>
          <w:color w:val="auto"/>
          <w:sz w:val="22"/>
          <w:szCs w:val="22"/>
        </w:rPr>
      </w:pPr>
      <w:r w:rsidRPr="007A7267">
        <w:rPr>
          <w:rFonts w:asciiTheme="minorHAnsi" w:hAnsiTheme="minorHAnsi" w:cstheme="minorHAnsi"/>
          <w:color w:val="auto"/>
          <w:sz w:val="22"/>
          <w:szCs w:val="22"/>
        </w:rPr>
        <w:t xml:space="preserve">1. W ramach </w:t>
      </w:r>
      <w:r w:rsidR="00A93F50">
        <w:rPr>
          <w:rFonts w:asciiTheme="minorHAnsi" w:hAnsiTheme="minorHAnsi" w:cstheme="minorHAnsi"/>
          <w:color w:val="auto"/>
          <w:sz w:val="22"/>
          <w:szCs w:val="22"/>
        </w:rPr>
        <w:t>produktu</w:t>
      </w:r>
      <w:r w:rsidRPr="007A7267">
        <w:rPr>
          <w:rFonts w:asciiTheme="minorHAnsi" w:hAnsiTheme="minorHAnsi" w:cstheme="minorHAnsi"/>
          <w:color w:val="auto"/>
          <w:sz w:val="22"/>
          <w:szCs w:val="22"/>
        </w:rPr>
        <w:t xml:space="preserve"> Pożyczka Regionalna dla MŚP, preferowane będą inwestycje: </w:t>
      </w:r>
    </w:p>
    <w:p w14:paraId="363C0EB8" w14:textId="77777777" w:rsidR="007A7267" w:rsidRPr="007A7267" w:rsidRDefault="007A7267" w:rsidP="009B7A27">
      <w:pPr>
        <w:pStyle w:val="Default"/>
        <w:numPr>
          <w:ilvl w:val="0"/>
          <w:numId w:val="14"/>
        </w:numPr>
        <w:spacing w:line="276" w:lineRule="auto"/>
        <w:jc w:val="both"/>
        <w:rPr>
          <w:rFonts w:asciiTheme="minorHAnsi" w:hAnsiTheme="minorHAnsi" w:cstheme="minorHAnsi"/>
          <w:b/>
          <w:color w:val="auto"/>
          <w:sz w:val="22"/>
          <w:szCs w:val="22"/>
        </w:rPr>
      </w:pPr>
      <w:r w:rsidRPr="007A7267">
        <w:rPr>
          <w:rFonts w:asciiTheme="minorHAnsi" w:hAnsiTheme="minorHAnsi" w:cstheme="minorHAnsi"/>
          <w:color w:val="auto"/>
          <w:sz w:val="22"/>
          <w:szCs w:val="22"/>
        </w:rPr>
        <w:t xml:space="preserve">wykazujące wpływ na rozwój inteligentnych specjalizacji województwa warmińsko-mazurskiego tj.: </w:t>
      </w:r>
    </w:p>
    <w:p w14:paraId="390D87A1" w14:textId="77777777" w:rsidR="007A7267" w:rsidRPr="007A7267" w:rsidRDefault="007A7267" w:rsidP="009B7A27">
      <w:pPr>
        <w:pStyle w:val="Default"/>
        <w:numPr>
          <w:ilvl w:val="0"/>
          <w:numId w:val="17"/>
        </w:numPr>
        <w:spacing w:line="276" w:lineRule="auto"/>
        <w:jc w:val="both"/>
        <w:rPr>
          <w:rFonts w:asciiTheme="minorHAnsi" w:hAnsiTheme="minorHAnsi" w:cstheme="minorHAnsi"/>
          <w:b/>
          <w:color w:val="auto"/>
          <w:sz w:val="22"/>
          <w:szCs w:val="22"/>
        </w:rPr>
      </w:pPr>
      <w:r w:rsidRPr="007A7267">
        <w:rPr>
          <w:rFonts w:asciiTheme="minorHAnsi" w:hAnsiTheme="minorHAnsi" w:cstheme="minorHAnsi"/>
          <w:color w:val="auto"/>
          <w:sz w:val="22"/>
          <w:szCs w:val="22"/>
        </w:rPr>
        <w:t>drewno i meblarstwo,</w:t>
      </w:r>
    </w:p>
    <w:p w14:paraId="5718FCB6" w14:textId="77777777" w:rsidR="007A7267" w:rsidRPr="007A7267" w:rsidRDefault="007A7267" w:rsidP="009B7A27">
      <w:pPr>
        <w:pStyle w:val="Default"/>
        <w:numPr>
          <w:ilvl w:val="0"/>
          <w:numId w:val="17"/>
        </w:numPr>
        <w:spacing w:line="276" w:lineRule="auto"/>
        <w:jc w:val="both"/>
        <w:rPr>
          <w:rFonts w:asciiTheme="minorHAnsi" w:hAnsiTheme="minorHAnsi" w:cstheme="minorHAnsi"/>
          <w:b/>
          <w:color w:val="auto"/>
          <w:sz w:val="22"/>
          <w:szCs w:val="22"/>
        </w:rPr>
      </w:pPr>
      <w:r w:rsidRPr="007A7267">
        <w:rPr>
          <w:rFonts w:asciiTheme="minorHAnsi" w:hAnsiTheme="minorHAnsi" w:cstheme="minorHAnsi"/>
          <w:color w:val="auto"/>
          <w:sz w:val="22"/>
          <w:szCs w:val="22"/>
        </w:rPr>
        <w:t xml:space="preserve">żywność wysokiej jakości, </w:t>
      </w:r>
    </w:p>
    <w:p w14:paraId="74A3A80F" w14:textId="77777777" w:rsidR="007A7267" w:rsidRPr="007A7267" w:rsidRDefault="007A7267" w:rsidP="009B7A27">
      <w:pPr>
        <w:pStyle w:val="Default"/>
        <w:numPr>
          <w:ilvl w:val="0"/>
          <w:numId w:val="17"/>
        </w:numPr>
        <w:spacing w:line="276" w:lineRule="auto"/>
        <w:jc w:val="both"/>
        <w:rPr>
          <w:rFonts w:asciiTheme="minorHAnsi" w:hAnsiTheme="minorHAnsi" w:cstheme="minorHAnsi"/>
          <w:color w:val="auto"/>
          <w:sz w:val="22"/>
          <w:szCs w:val="22"/>
        </w:rPr>
      </w:pPr>
      <w:r w:rsidRPr="007A7267">
        <w:rPr>
          <w:rFonts w:asciiTheme="minorHAnsi" w:hAnsiTheme="minorHAnsi" w:cstheme="minorHAnsi"/>
          <w:color w:val="auto"/>
          <w:sz w:val="22"/>
          <w:szCs w:val="22"/>
        </w:rPr>
        <w:t>ekonomia wody,</w:t>
      </w:r>
    </w:p>
    <w:p w14:paraId="45732E67" w14:textId="77777777" w:rsidR="007A7267" w:rsidRPr="007A7267" w:rsidRDefault="007A7267" w:rsidP="009B7A27">
      <w:pPr>
        <w:pStyle w:val="Default"/>
        <w:numPr>
          <w:ilvl w:val="0"/>
          <w:numId w:val="17"/>
        </w:numPr>
        <w:spacing w:line="276" w:lineRule="auto"/>
        <w:jc w:val="both"/>
        <w:rPr>
          <w:rFonts w:asciiTheme="minorHAnsi" w:hAnsiTheme="minorHAnsi" w:cstheme="minorHAnsi"/>
          <w:color w:val="auto"/>
          <w:sz w:val="22"/>
          <w:szCs w:val="22"/>
        </w:rPr>
      </w:pPr>
      <w:r w:rsidRPr="007A7267">
        <w:rPr>
          <w:rFonts w:asciiTheme="minorHAnsi" w:hAnsiTheme="minorHAnsi" w:cstheme="minorHAnsi"/>
          <w:color w:val="auto"/>
          <w:sz w:val="22"/>
          <w:szCs w:val="22"/>
        </w:rPr>
        <w:t>zdrowe życie,</w:t>
      </w:r>
    </w:p>
    <w:p w14:paraId="6EC7EF12" w14:textId="77777777" w:rsidR="007A7267" w:rsidRPr="007A7267" w:rsidRDefault="007A7267" w:rsidP="009B7A27">
      <w:pPr>
        <w:pStyle w:val="Default"/>
        <w:numPr>
          <w:ilvl w:val="0"/>
          <w:numId w:val="17"/>
        </w:numPr>
        <w:spacing w:line="276" w:lineRule="auto"/>
        <w:jc w:val="both"/>
        <w:rPr>
          <w:rFonts w:asciiTheme="minorHAnsi" w:hAnsiTheme="minorHAnsi" w:cstheme="minorHAnsi"/>
          <w:color w:val="auto"/>
          <w:sz w:val="22"/>
          <w:szCs w:val="22"/>
        </w:rPr>
      </w:pPr>
      <w:r w:rsidRPr="007A7267">
        <w:rPr>
          <w:rFonts w:asciiTheme="minorHAnsi" w:hAnsiTheme="minorHAnsi" w:cstheme="minorHAnsi"/>
          <w:color w:val="auto"/>
          <w:sz w:val="22"/>
          <w:szCs w:val="22"/>
        </w:rPr>
        <w:t>inne inteligentne specjalizacje województwa warmińsko-mazurskiego, zatwierdzone w przyszłości przez Samorząd Województwa Warmińsko-Mazurskiego.</w:t>
      </w:r>
    </w:p>
    <w:p w14:paraId="072B7496" w14:textId="77777777" w:rsidR="007A7267" w:rsidRPr="007A7267" w:rsidRDefault="007A7267" w:rsidP="007A7267">
      <w:pPr>
        <w:pStyle w:val="Default"/>
        <w:spacing w:line="276" w:lineRule="auto"/>
        <w:ind w:left="708"/>
        <w:jc w:val="both"/>
        <w:rPr>
          <w:rFonts w:asciiTheme="minorHAnsi" w:hAnsiTheme="minorHAnsi" w:cstheme="minorHAnsi"/>
          <w:b/>
          <w:color w:val="auto"/>
          <w:sz w:val="22"/>
          <w:szCs w:val="22"/>
        </w:rPr>
      </w:pPr>
      <w:r w:rsidRPr="007A7267">
        <w:rPr>
          <w:rFonts w:asciiTheme="minorHAnsi" w:hAnsiTheme="minorHAnsi" w:cstheme="minorHAnsi"/>
          <w:color w:val="auto"/>
          <w:sz w:val="22"/>
          <w:szCs w:val="22"/>
        </w:rPr>
        <w:t xml:space="preserve">Poprzez inwestycje w ramach powyższych inteligentnych specjalizacji należy rozumieć takie, które muszą spełnić co najmniej dwa z poniższych warunków łącznie: </w:t>
      </w:r>
    </w:p>
    <w:p w14:paraId="29245976" w14:textId="77777777" w:rsidR="007A7267" w:rsidRPr="007A7267" w:rsidRDefault="007A7267" w:rsidP="009B7A27">
      <w:pPr>
        <w:pStyle w:val="Akapitzlist"/>
        <w:numPr>
          <w:ilvl w:val="0"/>
          <w:numId w:val="13"/>
        </w:numPr>
        <w:spacing w:after="0"/>
        <w:jc w:val="both"/>
        <w:rPr>
          <w:rFonts w:cstheme="minorHAnsi"/>
          <w:b/>
          <w:u w:val="single"/>
        </w:rPr>
      </w:pPr>
      <w:r w:rsidRPr="007A7267">
        <w:rPr>
          <w:rFonts w:cstheme="minorHAnsi"/>
        </w:rPr>
        <w:t>wpływ na eliminowanie negatywnego wpływu zagrożeń i/lub wpływ na wykorzystanie szans zdiagnozowanych w analizie SWOT dla danej inteligentnej specjalizacji</w:t>
      </w:r>
      <w:r w:rsidRPr="007A7267">
        <w:rPr>
          <w:rStyle w:val="Odwoanieprzypisudolnego"/>
          <w:rFonts w:cstheme="minorHAnsi"/>
        </w:rPr>
        <w:footnoteReference w:id="2"/>
      </w:r>
      <w:r w:rsidRPr="007A7267">
        <w:rPr>
          <w:rFonts w:cstheme="minorHAnsi"/>
        </w:rPr>
        <w:t xml:space="preserve">, </w:t>
      </w:r>
    </w:p>
    <w:p w14:paraId="7288DBD5" w14:textId="77777777" w:rsidR="007A7267" w:rsidRPr="007A7267" w:rsidRDefault="007A7267" w:rsidP="009B7A27">
      <w:pPr>
        <w:pStyle w:val="Akapitzlist"/>
        <w:numPr>
          <w:ilvl w:val="0"/>
          <w:numId w:val="13"/>
        </w:numPr>
        <w:spacing w:after="0"/>
        <w:jc w:val="both"/>
        <w:rPr>
          <w:rFonts w:cstheme="minorHAnsi"/>
          <w:b/>
          <w:u w:val="single"/>
        </w:rPr>
      </w:pPr>
      <w:r w:rsidRPr="007A7267">
        <w:rPr>
          <w:rFonts w:cstheme="minorHAnsi"/>
        </w:rPr>
        <w:t xml:space="preserve">wpływ na wzmocnienie silnych stron i/lub eliminację słabych stron zdiagnozowanych w analizie SWOT dla danej inteligentnej specjalizacji, </w:t>
      </w:r>
    </w:p>
    <w:p w14:paraId="07665DAA" w14:textId="77777777" w:rsidR="007A7267" w:rsidRPr="007A7267" w:rsidRDefault="007A7267" w:rsidP="009B7A27">
      <w:pPr>
        <w:pStyle w:val="Akapitzlist"/>
        <w:numPr>
          <w:ilvl w:val="0"/>
          <w:numId w:val="13"/>
        </w:numPr>
        <w:spacing w:after="0"/>
        <w:jc w:val="both"/>
        <w:rPr>
          <w:rFonts w:cstheme="minorHAnsi"/>
          <w:b/>
          <w:u w:val="single"/>
        </w:rPr>
      </w:pPr>
      <w:r w:rsidRPr="007A7267">
        <w:rPr>
          <w:rFonts w:cstheme="minorHAnsi"/>
        </w:rPr>
        <w:t xml:space="preserve">dyfuzję wyników projektu na więcej niż jeden podmiot działający w obszarze danej inteligentnej specjalizacji, </w:t>
      </w:r>
    </w:p>
    <w:p w14:paraId="7D23E9CB" w14:textId="77777777" w:rsidR="007A7267" w:rsidRPr="007A7267" w:rsidRDefault="007A7267" w:rsidP="009B7A27">
      <w:pPr>
        <w:pStyle w:val="Akapitzlist"/>
        <w:numPr>
          <w:ilvl w:val="0"/>
          <w:numId w:val="13"/>
        </w:numPr>
        <w:spacing w:after="0"/>
        <w:jc w:val="both"/>
        <w:rPr>
          <w:rFonts w:cstheme="minorHAnsi"/>
          <w:b/>
          <w:u w:val="single"/>
        </w:rPr>
      </w:pPr>
      <w:r w:rsidRPr="007A7267">
        <w:rPr>
          <w:rFonts w:cstheme="minorHAnsi"/>
        </w:rPr>
        <w:t>stworzenie w wyniku projektu możliwości eksportowych w ramach danej specjalizacji i/lub generowanie potencjalnego wzrostu współpracy w europejskich łańcuchach wartości,</w:t>
      </w:r>
    </w:p>
    <w:p w14:paraId="65CD02EF" w14:textId="77777777" w:rsidR="007A7267" w:rsidRPr="007A7267" w:rsidRDefault="007A7267" w:rsidP="009B7A27">
      <w:pPr>
        <w:pStyle w:val="Akapitzlist"/>
        <w:numPr>
          <w:ilvl w:val="0"/>
          <w:numId w:val="13"/>
        </w:numPr>
        <w:spacing w:after="0"/>
        <w:jc w:val="both"/>
        <w:rPr>
          <w:rFonts w:cstheme="minorHAnsi"/>
          <w:b/>
          <w:u w:val="single"/>
        </w:rPr>
      </w:pPr>
      <w:r w:rsidRPr="007A7267">
        <w:rPr>
          <w:rFonts w:cstheme="minorHAnsi"/>
        </w:rPr>
        <w:t>wpływ na kreowanie współpracy pomiędzy środowiskiem naukowym, biznesowym, otoczeniem biznesu, administracją w obrębie co najmniej jednej specjalizacji w wyniku realizacji projektu.</w:t>
      </w:r>
    </w:p>
    <w:p w14:paraId="04F68423" w14:textId="77777777" w:rsidR="007A7267" w:rsidRPr="007A7267" w:rsidRDefault="007A7267" w:rsidP="009B7A27">
      <w:pPr>
        <w:pStyle w:val="Akapitzlist"/>
        <w:numPr>
          <w:ilvl w:val="0"/>
          <w:numId w:val="14"/>
        </w:numPr>
        <w:spacing w:after="0"/>
        <w:ind w:left="1066" w:hanging="357"/>
        <w:jc w:val="both"/>
        <w:rPr>
          <w:rFonts w:cstheme="minorHAnsi"/>
        </w:rPr>
      </w:pPr>
      <w:r w:rsidRPr="007A7267">
        <w:rPr>
          <w:rFonts w:cstheme="minorHAnsi"/>
        </w:rPr>
        <w:lastRenderedPageBreak/>
        <w:t xml:space="preserve">wykazujące wpływ na oszczędność surowców i energii - inwestycja przewiduje działania w obszarze ochrony środowiska mające na celu zmniejszenie zużycia surowców i energii, w tym także wody; Wnioskodawca powinien we wniosku o udzielenie pożyczki opisać i wykazać w liczbach spełnienie tego warunku; należy w ramach prowadzonej działalności gospodarczej porównać stan na moment złożenia wniosku o udzielenie pożyczki i na moment zakończenia realizacji/wdrożenia inwestycji; warunek zostanie spełniony także, jeśli Wnioskodawca wykaże, że inwestycja generuje oszczędność surowców i energii w porównaniu do dotychczasowych rozwiązań stosowanych na rynku; Wnioskodawca do Wniosku o udzielenie pożyczki dołącza </w:t>
      </w:r>
      <w:r w:rsidRPr="007A7267">
        <w:rPr>
          <w:rFonts w:cstheme="minorHAnsi"/>
          <w:bCs/>
        </w:rPr>
        <w:t xml:space="preserve">opinię </w:t>
      </w:r>
      <w:r w:rsidRPr="007A7267">
        <w:rPr>
          <w:rFonts w:cstheme="minorHAnsi"/>
        </w:rPr>
        <w:t>wyspecjalizowanej zewnętrznej jednostki potwierdzającą, że inwestycja przyczyni się do oszczędności surowców i energii; ocena spełnienia warunku dokonywana jest na podstawie informacji zawartych we wniosku o udzielenie pożyczki oraz ww. opinii,</w:t>
      </w:r>
    </w:p>
    <w:p w14:paraId="0037E91E" w14:textId="77777777" w:rsidR="007A7267" w:rsidRPr="007A7267" w:rsidRDefault="007A7267" w:rsidP="009B7A27">
      <w:pPr>
        <w:pStyle w:val="Akapitzlist"/>
        <w:numPr>
          <w:ilvl w:val="0"/>
          <w:numId w:val="14"/>
        </w:numPr>
        <w:spacing w:after="0"/>
        <w:ind w:left="1066" w:hanging="357"/>
        <w:jc w:val="both"/>
        <w:rPr>
          <w:rFonts w:cstheme="minorHAnsi"/>
        </w:rPr>
      </w:pPr>
      <w:r w:rsidRPr="007A7267">
        <w:rPr>
          <w:rFonts w:cstheme="minorHAnsi"/>
        </w:rPr>
        <w:t xml:space="preserve">wykazujące wpływ na oszczędność emisji szkodliwych gazów do środowiska - inwestycja przewiduje działania w obszarze ochrony środowiska mające na celu zmniejszenie </w:t>
      </w:r>
      <w:r w:rsidRPr="007A7267">
        <w:rPr>
          <w:rFonts w:cstheme="minorHAnsi"/>
          <w:bCs/>
        </w:rPr>
        <w:t>emisji szkodliwych gazów do środowiska</w:t>
      </w:r>
      <w:r w:rsidRPr="007A7267">
        <w:rPr>
          <w:rFonts w:cstheme="minorHAnsi"/>
        </w:rPr>
        <w:t xml:space="preserve">; Wnioskodawca powinien we wniosku o udzielenie pożyczki opisać i wykazać w liczbach spełnienie tego warunku; należy w ramach prowadzonej działalności gospodarczej porównać stan na moment złożenia wniosku o udzielenie pożyczki i na moment zakończenia realizacji/wdrożenia inwestycji; warunek zostanie spełniony także, jeśli Wnioskodawca wykaże, że inwestycja ogranicza emisję szkodliwych gazów do środowiska w porównaniu do dotychczasowych rozwiązań stosowanych na rynku; Wnioskodawca do Wniosku o udzielenie pożyczki dołącza </w:t>
      </w:r>
      <w:r w:rsidRPr="007A7267">
        <w:rPr>
          <w:rFonts w:cstheme="minorHAnsi"/>
          <w:bCs/>
        </w:rPr>
        <w:t xml:space="preserve">opinię </w:t>
      </w:r>
      <w:r w:rsidRPr="007A7267">
        <w:rPr>
          <w:rFonts w:cstheme="minorHAnsi"/>
        </w:rPr>
        <w:t>wyspecjalizowanej zewnętrznej jednostki potwierdzającą, że inwestycja przyczyni się do ograniczenia emisji szkodliwych gazów do środowiska; ocena spełnienia warunku dokonywana jest na podstawie informacji zawartych we wniosku o udzielenie pożyczki oraz ww. opinii,</w:t>
      </w:r>
    </w:p>
    <w:p w14:paraId="7BF6D26D" w14:textId="77777777" w:rsidR="007A7267" w:rsidRPr="007A7267" w:rsidRDefault="007A7267" w:rsidP="009B7A27">
      <w:pPr>
        <w:pStyle w:val="Akapitzlist"/>
        <w:numPr>
          <w:ilvl w:val="0"/>
          <w:numId w:val="14"/>
        </w:numPr>
        <w:spacing w:after="0"/>
        <w:jc w:val="both"/>
        <w:rPr>
          <w:rFonts w:cstheme="minorHAnsi"/>
        </w:rPr>
      </w:pPr>
      <w:r w:rsidRPr="007A7267">
        <w:rPr>
          <w:rFonts w:cstheme="minorHAnsi"/>
        </w:rPr>
        <w:t xml:space="preserve">wykazujące wpływ na rozwój innowacyjności przedsiębiorstwa - Wnioskodawca do Wniosku o udzielenie pożyczki dołącza </w:t>
      </w:r>
      <w:r w:rsidRPr="007A7267">
        <w:rPr>
          <w:rFonts w:cstheme="minorHAnsi"/>
          <w:bCs/>
        </w:rPr>
        <w:t xml:space="preserve">opinię </w:t>
      </w:r>
      <w:r w:rsidRPr="007A7267">
        <w:rPr>
          <w:rFonts w:cstheme="minorHAnsi"/>
        </w:rPr>
        <w:t>wyspecjalizowanej zewnętrznej jednostki potwierdzającą, że inwestycja jest innowacją w skali przedsiębiorstwa,</w:t>
      </w:r>
    </w:p>
    <w:p w14:paraId="46F39815" w14:textId="77777777" w:rsidR="007A7267" w:rsidRPr="007A7267" w:rsidRDefault="007A7267" w:rsidP="009B7A27">
      <w:pPr>
        <w:pStyle w:val="Akapitzlist"/>
        <w:numPr>
          <w:ilvl w:val="0"/>
          <w:numId w:val="14"/>
        </w:numPr>
        <w:spacing w:after="0"/>
        <w:jc w:val="both"/>
        <w:rPr>
          <w:rFonts w:cstheme="minorHAnsi"/>
          <w:color w:val="000000" w:themeColor="text1"/>
        </w:rPr>
      </w:pPr>
      <w:r w:rsidRPr="007A7267">
        <w:rPr>
          <w:rFonts w:cstheme="minorHAnsi"/>
        </w:rPr>
        <w:t xml:space="preserve">realizowane przez podmioty, o których mowa </w:t>
      </w:r>
      <w:r w:rsidRPr="007A7267">
        <w:rPr>
          <w:rFonts w:cstheme="minorHAnsi"/>
          <w:color w:val="000000" w:themeColor="text1"/>
        </w:rPr>
        <w:t>w pkt. IV, działające na rynku nie dłużej niż 3 lata</w:t>
      </w:r>
      <w:r w:rsidRPr="007A7267">
        <w:rPr>
          <w:rStyle w:val="Odwoanieprzypisudolnego"/>
          <w:rFonts w:cstheme="minorHAnsi"/>
          <w:color w:val="000000" w:themeColor="text1"/>
        </w:rPr>
        <w:footnoteReference w:id="3"/>
      </w:r>
      <w:r w:rsidRPr="007A7267">
        <w:rPr>
          <w:rFonts w:cstheme="minorHAnsi"/>
          <w:color w:val="000000" w:themeColor="text1"/>
        </w:rPr>
        <w:t xml:space="preserve">. Okres ten liczony jest w następujący sposób: </w:t>
      </w:r>
    </w:p>
    <w:p w14:paraId="0A1E48DB" w14:textId="77777777" w:rsidR="007A7267" w:rsidRPr="007A7267" w:rsidRDefault="007A7267" w:rsidP="009B7A27">
      <w:pPr>
        <w:pStyle w:val="Akapitzlist"/>
        <w:numPr>
          <w:ilvl w:val="0"/>
          <w:numId w:val="18"/>
        </w:numPr>
        <w:spacing w:after="0"/>
        <w:jc w:val="both"/>
        <w:rPr>
          <w:rFonts w:cstheme="minorHAnsi"/>
        </w:rPr>
      </w:pPr>
      <w:r w:rsidRPr="007A7267">
        <w:rPr>
          <w:rFonts w:cstheme="minorHAnsi"/>
        </w:rPr>
        <w:t>dla osób fizycznych – od daty rozpoczęcia wykonywania działalności określonej w Centralnej Ewidencji i Informacji o Działalności Gospodarczej,</w:t>
      </w:r>
    </w:p>
    <w:p w14:paraId="46DDAA43" w14:textId="77777777" w:rsidR="007A7267" w:rsidRPr="007A7267" w:rsidRDefault="007A7267" w:rsidP="009B7A27">
      <w:pPr>
        <w:pStyle w:val="Akapitzlist"/>
        <w:numPr>
          <w:ilvl w:val="0"/>
          <w:numId w:val="18"/>
        </w:numPr>
        <w:spacing w:after="0"/>
        <w:jc w:val="both"/>
        <w:rPr>
          <w:rFonts w:cstheme="minorHAnsi"/>
        </w:rPr>
      </w:pPr>
      <w:r w:rsidRPr="007A7267">
        <w:rPr>
          <w:rFonts w:cstheme="minorHAnsi"/>
        </w:rPr>
        <w:t>dla spółek cywilnych – od daty zawarcia umowy spółki,</w:t>
      </w:r>
    </w:p>
    <w:p w14:paraId="40D9A8BA" w14:textId="77777777" w:rsidR="007A7267" w:rsidRPr="007A7267" w:rsidRDefault="007A7267" w:rsidP="009B7A27">
      <w:pPr>
        <w:pStyle w:val="Akapitzlist"/>
        <w:numPr>
          <w:ilvl w:val="0"/>
          <w:numId w:val="18"/>
        </w:numPr>
        <w:spacing w:after="0"/>
        <w:jc w:val="both"/>
        <w:rPr>
          <w:rFonts w:cstheme="minorHAnsi"/>
        </w:rPr>
      </w:pPr>
      <w:r w:rsidRPr="007A7267">
        <w:rPr>
          <w:rFonts w:cstheme="minorHAnsi"/>
        </w:rPr>
        <w:t>dla spółek kapitałowych – od daty zawarcia umowy spółki,</w:t>
      </w:r>
    </w:p>
    <w:p w14:paraId="792ABFFC" w14:textId="77777777" w:rsidR="007A7267" w:rsidRPr="007A7267" w:rsidRDefault="007A7267" w:rsidP="009B7A27">
      <w:pPr>
        <w:pStyle w:val="Akapitzlist"/>
        <w:numPr>
          <w:ilvl w:val="0"/>
          <w:numId w:val="18"/>
        </w:numPr>
        <w:spacing w:after="0"/>
        <w:jc w:val="both"/>
        <w:rPr>
          <w:rFonts w:cstheme="minorHAnsi"/>
        </w:rPr>
      </w:pPr>
      <w:r w:rsidRPr="007A7267">
        <w:rPr>
          <w:rFonts w:cstheme="minorHAnsi"/>
        </w:rPr>
        <w:t>dla pozostałych spółek handlowych – od daty rejestracji w Krajowym Rejestrze Sądowym,</w:t>
      </w:r>
    </w:p>
    <w:p w14:paraId="78140D45" w14:textId="77777777" w:rsidR="007A7267" w:rsidRPr="007A7267" w:rsidRDefault="007A7267" w:rsidP="009B7A27">
      <w:pPr>
        <w:pStyle w:val="Akapitzlist"/>
        <w:numPr>
          <w:ilvl w:val="0"/>
          <w:numId w:val="18"/>
        </w:numPr>
        <w:spacing w:after="0"/>
        <w:jc w:val="both"/>
        <w:rPr>
          <w:rFonts w:cstheme="minorHAnsi"/>
        </w:rPr>
      </w:pPr>
      <w:r w:rsidRPr="007A7267">
        <w:rPr>
          <w:rFonts w:cstheme="minorHAnsi"/>
        </w:rPr>
        <w:t>dla oddziałów przedsiębiorstw zagranicznych – od daty rejestracji w Krajowym Rejestrze Sądowym,</w:t>
      </w:r>
    </w:p>
    <w:p w14:paraId="344E1178" w14:textId="77777777" w:rsidR="007A7267" w:rsidRPr="007A7267" w:rsidRDefault="007A7267" w:rsidP="009B7A27">
      <w:pPr>
        <w:pStyle w:val="Akapitzlist"/>
        <w:numPr>
          <w:ilvl w:val="0"/>
          <w:numId w:val="18"/>
        </w:numPr>
        <w:spacing w:after="0"/>
        <w:jc w:val="both"/>
        <w:rPr>
          <w:rFonts w:cstheme="minorHAnsi"/>
        </w:rPr>
      </w:pPr>
      <w:r w:rsidRPr="007A7267">
        <w:rPr>
          <w:rFonts w:cstheme="minorHAnsi"/>
        </w:rPr>
        <w:t>dla przedsiębiorstw zagranicznych – od daty zawarcia umowy spółki lub daty rejestracji w odpowiednim rejestrze, w zależności od konstrukcji prawnej przedsiębiorstwa zagranicznego.</w:t>
      </w:r>
    </w:p>
    <w:p w14:paraId="3200F6BF" w14:textId="77777777" w:rsidR="007A7267" w:rsidRPr="007A7267" w:rsidRDefault="007A7267" w:rsidP="009B7A27">
      <w:pPr>
        <w:pStyle w:val="Akapitzlist"/>
        <w:numPr>
          <w:ilvl w:val="0"/>
          <w:numId w:val="15"/>
        </w:numPr>
        <w:autoSpaceDE w:val="0"/>
        <w:autoSpaceDN w:val="0"/>
        <w:adjustRightInd w:val="0"/>
        <w:spacing w:after="0"/>
        <w:jc w:val="both"/>
        <w:rPr>
          <w:rFonts w:cstheme="minorHAnsi"/>
        </w:rPr>
      </w:pPr>
      <w:r w:rsidRPr="007A7267">
        <w:rPr>
          <w:rFonts w:cstheme="minorHAnsi"/>
        </w:rPr>
        <w:t xml:space="preserve">realizowane na obszarach o niskim poziomie aktywności gospodarczej -  pod uwagę brany jest obszar, na którym realizowana będzie inwestycja; warunek jest spełniony, jeśli inwestycja realizowana będzie na obszarze o niskim poziomie aktywności gospodarczej na poziomie gmin w województwie warmińsko-mazurskim – obszary o niskim poziomie aktywności gospodarczej to obszary, dla których poziom wskaźnika: </w:t>
      </w:r>
      <w:r w:rsidRPr="007A7267">
        <w:rPr>
          <w:rFonts w:cstheme="minorHAnsi"/>
          <w:i/>
          <w:iCs/>
        </w:rPr>
        <w:t xml:space="preserve">podmioty wpisane do rejestru REGON na 10 tys. ludności </w:t>
      </w:r>
      <w:r w:rsidRPr="007A7267">
        <w:rPr>
          <w:rFonts w:cstheme="minorHAnsi"/>
        </w:rPr>
        <w:t>kształtuje się na poziomie poniżej 70% średniej regionalnej,</w:t>
      </w:r>
    </w:p>
    <w:p w14:paraId="6A06C22B" w14:textId="77777777" w:rsidR="007A7267" w:rsidRPr="007A7267" w:rsidRDefault="007A7267" w:rsidP="009B7A27">
      <w:pPr>
        <w:pStyle w:val="Akapitzlist"/>
        <w:numPr>
          <w:ilvl w:val="0"/>
          <w:numId w:val="15"/>
        </w:numPr>
        <w:autoSpaceDE w:val="0"/>
        <w:autoSpaceDN w:val="0"/>
        <w:adjustRightInd w:val="0"/>
        <w:spacing w:after="0"/>
        <w:jc w:val="both"/>
        <w:rPr>
          <w:rFonts w:cstheme="minorHAnsi"/>
        </w:rPr>
      </w:pPr>
      <w:r w:rsidRPr="007A7267">
        <w:rPr>
          <w:rFonts w:cstheme="minorHAnsi"/>
        </w:rPr>
        <w:lastRenderedPageBreak/>
        <w:t>realizowane na obszarach przygranicznych, tj. na terenie powiatów przygranicznych województwa warmińsko-mazurskiego: bartoszycki, braniewski, gołdapski, kętrzyński, węgorzewski.</w:t>
      </w:r>
    </w:p>
    <w:p w14:paraId="2053E216" w14:textId="77777777" w:rsidR="007A7267" w:rsidRPr="007A7267" w:rsidRDefault="007A7267" w:rsidP="009B7A27">
      <w:pPr>
        <w:pStyle w:val="Akapitzlist"/>
        <w:numPr>
          <w:ilvl w:val="0"/>
          <w:numId w:val="15"/>
        </w:numPr>
        <w:autoSpaceDE w:val="0"/>
        <w:autoSpaceDN w:val="0"/>
        <w:adjustRightInd w:val="0"/>
        <w:spacing w:after="0"/>
        <w:jc w:val="both"/>
        <w:rPr>
          <w:rFonts w:cstheme="minorHAnsi"/>
        </w:rPr>
      </w:pPr>
      <w:r w:rsidRPr="007A7267">
        <w:rPr>
          <w:rFonts w:cstheme="minorHAnsi"/>
        </w:rPr>
        <w:t xml:space="preserve">realizowane na obszarach o wysokiej stopie bezrobocia (w odniesieniu do średniej województwa) - pod uwagę brana jest stopa bezrobocia w powiecie na obszarze województwa warmińsko-mazurskiego, na terenie którego realizowana będzie inwestycja - na podstawie wskaźnika </w:t>
      </w:r>
      <w:r w:rsidRPr="007A7267">
        <w:rPr>
          <w:rFonts w:cstheme="minorHAnsi"/>
          <w:i/>
          <w:iCs/>
        </w:rPr>
        <w:t xml:space="preserve">„Stopa bezrobocia rejestrowanego w %” </w:t>
      </w:r>
      <w:r w:rsidRPr="007A7267">
        <w:rPr>
          <w:rFonts w:cstheme="minorHAnsi"/>
        </w:rPr>
        <w:t>według danych GUS lub Wojewódzkiego Urzędu Pracy w Olsztynie; warunek jest spełniony, jeśli inwestycja będzie realizowana na terenie powiatu o stopie bezrobocia wyższej od średniej stopy bezrobocia dla województwa warmińsko-mazurskiego - według stanu na koniec poprzedniego roku kalendarzowego.</w:t>
      </w:r>
    </w:p>
    <w:p w14:paraId="4D152023" w14:textId="77777777" w:rsidR="007A7267" w:rsidRPr="007A7267" w:rsidRDefault="007A7267" w:rsidP="009B7A27">
      <w:pPr>
        <w:pStyle w:val="Akapitzlist"/>
        <w:numPr>
          <w:ilvl w:val="0"/>
          <w:numId w:val="15"/>
        </w:numPr>
        <w:autoSpaceDE w:val="0"/>
        <w:autoSpaceDN w:val="0"/>
        <w:adjustRightInd w:val="0"/>
        <w:spacing w:after="0"/>
        <w:jc w:val="both"/>
        <w:rPr>
          <w:rFonts w:cstheme="minorHAnsi"/>
        </w:rPr>
      </w:pPr>
      <w:r w:rsidRPr="007A7267">
        <w:rPr>
          <w:rFonts w:cstheme="minorHAnsi"/>
        </w:rPr>
        <w:t>przyczyniające się do tworzenia trwałych miejsc pracy - pod uwagę brany jest planowany w wyniku realizacji inwestycji wzrost zatrudnienia u Wnioskodawcy; inwestycja musi wykazać wzrost zatrudnienia netto, co oznacza, że wzrost zatrudnienia w wyniku realizacji inwestycji może mieć miejsce wyłącznie w przypadku jednoczesnego utrzymania poziomu zatrudnienia wykazanego jako podstawa wyliczenia wzrostu; wzrost zatrudnienia liczony jest po zakończeniu inwestycji, nie później niż w terminie 18 miesięcy licząc od dnia zawarcia umowy pożyczki, w porównaniu do stanu zatrudnienia na moment złożenia wniosku o udzielenie pożyczki; do zatrudnienia wliczane są wszystkie etaty z wyłączeniem:</w:t>
      </w:r>
    </w:p>
    <w:p w14:paraId="3E7EB6C2" w14:textId="77777777" w:rsidR="007A7267" w:rsidRPr="007A7267" w:rsidRDefault="007A7267" w:rsidP="009B7A27">
      <w:pPr>
        <w:pStyle w:val="Akapitzlist"/>
        <w:numPr>
          <w:ilvl w:val="0"/>
          <w:numId w:val="16"/>
        </w:numPr>
        <w:autoSpaceDE w:val="0"/>
        <w:autoSpaceDN w:val="0"/>
        <w:adjustRightInd w:val="0"/>
        <w:spacing w:after="0"/>
        <w:jc w:val="both"/>
        <w:rPr>
          <w:rFonts w:cstheme="minorHAnsi"/>
        </w:rPr>
      </w:pPr>
      <w:r w:rsidRPr="007A7267">
        <w:rPr>
          <w:rFonts w:cstheme="minorHAnsi"/>
        </w:rPr>
        <w:t xml:space="preserve">osób zatrudnionych na podstawie umowy o dzieło lub umowy zlecenia, </w:t>
      </w:r>
    </w:p>
    <w:p w14:paraId="1E35F45D" w14:textId="77777777" w:rsidR="007A7267" w:rsidRPr="007A7267" w:rsidRDefault="007A7267" w:rsidP="009B7A27">
      <w:pPr>
        <w:pStyle w:val="Akapitzlist"/>
        <w:numPr>
          <w:ilvl w:val="0"/>
          <w:numId w:val="16"/>
        </w:numPr>
        <w:autoSpaceDE w:val="0"/>
        <w:autoSpaceDN w:val="0"/>
        <w:adjustRightInd w:val="0"/>
        <w:spacing w:after="0"/>
        <w:jc w:val="both"/>
        <w:rPr>
          <w:rFonts w:cstheme="minorHAnsi"/>
        </w:rPr>
      </w:pPr>
      <w:r w:rsidRPr="007A7267">
        <w:rPr>
          <w:rFonts w:cstheme="minorHAnsi"/>
        </w:rPr>
        <w:t xml:space="preserve">osób wykonujących pracę nakładczą, </w:t>
      </w:r>
    </w:p>
    <w:p w14:paraId="16EC5CFE" w14:textId="77777777" w:rsidR="007A7267" w:rsidRPr="007A7267" w:rsidRDefault="007A7267" w:rsidP="009B7A27">
      <w:pPr>
        <w:pStyle w:val="Akapitzlist"/>
        <w:numPr>
          <w:ilvl w:val="0"/>
          <w:numId w:val="16"/>
        </w:numPr>
        <w:autoSpaceDE w:val="0"/>
        <w:autoSpaceDN w:val="0"/>
        <w:adjustRightInd w:val="0"/>
        <w:spacing w:after="0"/>
        <w:jc w:val="both"/>
        <w:rPr>
          <w:rFonts w:cstheme="minorHAnsi"/>
        </w:rPr>
      </w:pPr>
      <w:r w:rsidRPr="007A7267">
        <w:rPr>
          <w:rFonts w:cstheme="minorHAnsi"/>
        </w:rPr>
        <w:t xml:space="preserve">uczniów, którzy zawarli z firmą umowę o naukę zawodu lub przyuczenie do wykonywania pracy, </w:t>
      </w:r>
    </w:p>
    <w:p w14:paraId="04B84183" w14:textId="77777777" w:rsidR="007A7267" w:rsidRPr="007A7267" w:rsidRDefault="007A7267" w:rsidP="009B7A27">
      <w:pPr>
        <w:pStyle w:val="Akapitzlist"/>
        <w:numPr>
          <w:ilvl w:val="0"/>
          <w:numId w:val="16"/>
        </w:numPr>
        <w:autoSpaceDE w:val="0"/>
        <w:autoSpaceDN w:val="0"/>
        <w:adjustRightInd w:val="0"/>
        <w:spacing w:after="0"/>
        <w:jc w:val="both"/>
        <w:rPr>
          <w:rFonts w:cstheme="minorHAnsi"/>
        </w:rPr>
      </w:pPr>
      <w:r w:rsidRPr="007A7267">
        <w:rPr>
          <w:rFonts w:cstheme="minorHAnsi"/>
        </w:rPr>
        <w:t xml:space="preserve">osób korzystających w trakcie ostatnich 12 miesięcy z bezpłatnych urlopów wychowawczych w wymiarze powyżej 3 miesięcy. </w:t>
      </w:r>
    </w:p>
    <w:p w14:paraId="2BB5EBC6" w14:textId="77777777" w:rsidR="007A7267" w:rsidRPr="007A7267" w:rsidRDefault="007A7267" w:rsidP="007A7267">
      <w:pPr>
        <w:pStyle w:val="Akapitzlist"/>
        <w:autoSpaceDE w:val="0"/>
        <w:autoSpaceDN w:val="0"/>
        <w:adjustRightInd w:val="0"/>
        <w:spacing w:after="0"/>
        <w:ind w:left="1070"/>
        <w:jc w:val="both"/>
        <w:rPr>
          <w:rFonts w:cstheme="minorHAnsi"/>
        </w:rPr>
      </w:pPr>
      <w:r w:rsidRPr="007A7267">
        <w:rPr>
          <w:rFonts w:cstheme="minorHAnsi"/>
        </w:rPr>
        <w:t xml:space="preserve">Warunek jest spełniony, jeśli Wnioskodawca wykaże wzrost zatrudnienia o co najmniej </w:t>
      </w:r>
      <w:r w:rsidRPr="007A7267">
        <w:rPr>
          <w:rFonts w:cstheme="minorHAnsi"/>
          <w:bCs/>
        </w:rPr>
        <w:t xml:space="preserve">1 etat </w:t>
      </w:r>
      <w:r w:rsidRPr="007A7267">
        <w:rPr>
          <w:rFonts w:cstheme="minorHAnsi"/>
        </w:rPr>
        <w:t xml:space="preserve">i utrzymanie wzrostu zatrudnienia przez okres co najmniej </w:t>
      </w:r>
      <w:r w:rsidRPr="007A7267">
        <w:rPr>
          <w:rFonts w:cstheme="minorHAnsi"/>
          <w:bCs/>
        </w:rPr>
        <w:t xml:space="preserve">1 roku </w:t>
      </w:r>
      <w:r w:rsidRPr="007A7267">
        <w:rPr>
          <w:rFonts w:cstheme="minorHAnsi"/>
        </w:rPr>
        <w:t>licząc od daty osiągnięcia wskaźnika wzrostu zatrudnienia. Samozatrudnienie nie spełnia warunku.</w:t>
      </w:r>
    </w:p>
    <w:p w14:paraId="7D22D2B5" w14:textId="77777777" w:rsidR="007A7267" w:rsidRPr="00527E4F" w:rsidRDefault="007A7267" w:rsidP="007A7267">
      <w:pPr>
        <w:pStyle w:val="Akapitzlist"/>
        <w:tabs>
          <w:tab w:val="left" w:pos="3680"/>
        </w:tabs>
        <w:spacing w:after="0"/>
        <w:ind w:left="426"/>
        <w:contextualSpacing w:val="0"/>
        <w:jc w:val="both"/>
        <w:rPr>
          <w:rFonts w:cstheme="minorHAnsi"/>
          <w:b/>
          <w:sz w:val="24"/>
        </w:rPr>
      </w:pPr>
      <w:r>
        <w:rPr>
          <w:rFonts w:cstheme="minorHAnsi"/>
          <w:b/>
        </w:rPr>
        <w:tab/>
      </w:r>
    </w:p>
    <w:p w14:paraId="3BFA6A68" w14:textId="77777777" w:rsidR="005C057F" w:rsidRPr="007A7267" w:rsidRDefault="005C057F" w:rsidP="009B7A27">
      <w:pPr>
        <w:pStyle w:val="Akapitzlist"/>
        <w:numPr>
          <w:ilvl w:val="0"/>
          <w:numId w:val="20"/>
        </w:numPr>
        <w:spacing w:after="0"/>
        <w:jc w:val="both"/>
        <w:rPr>
          <w:rFonts w:cstheme="minorHAnsi"/>
          <w:b/>
        </w:rPr>
      </w:pPr>
      <w:r w:rsidRPr="007A7267">
        <w:rPr>
          <w:rFonts w:cstheme="minorHAnsi"/>
          <w:b/>
        </w:rPr>
        <w:t xml:space="preserve">Zasady </w:t>
      </w:r>
      <w:r w:rsidR="00EE07F6" w:rsidRPr="007A7267">
        <w:rPr>
          <w:rFonts w:cstheme="minorHAnsi"/>
          <w:b/>
        </w:rPr>
        <w:t xml:space="preserve">odpłatności za udzielenie </w:t>
      </w:r>
      <w:r w:rsidR="0025429A" w:rsidRPr="007A7267">
        <w:rPr>
          <w:rFonts w:cstheme="minorHAnsi"/>
          <w:b/>
        </w:rPr>
        <w:t>Pożyczki</w:t>
      </w:r>
    </w:p>
    <w:p w14:paraId="10D0ECFA" w14:textId="77777777" w:rsidR="00A93F50" w:rsidRPr="00A93F50" w:rsidRDefault="00A93F50" w:rsidP="00A93F50">
      <w:pPr>
        <w:pStyle w:val="Default"/>
        <w:numPr>
          <w:ilvl w:val="0"/>
          <w:numId w:val="21"/>
        </w:numPr>
        <w:jc w:val="both"/>
        <w:rPr>
          <w:rFonts w:asciiTheme="minorHAnsi" w:hAnsiTheme="minorHAnsi" w:cstheme="minorHAnsi"/>
          <w:color w:val="auto"/>
          <w:sz w:val="22"/>
          <w:szCs w:val="22"/>
        </w:rPr>
      </w:pPr>
      <w:r w:rsidRPr="00A93F50">
        <w:rPr>
          <w:rFonts w:asciiTheme="minorHAnsi" w:hAnsiTheme="minorHAnsi" w:cstheme="minorHAnsi"/>
          <w:color w:val="auto"/>
          <w:sz w:val="22"/>
          <w:szCs w:val="22"/>
        </w:rPr>
        <w:t xml:space="preserve">Jednostkowe Pożyczki udzielane Ostatecznym Odbiorcom przez Pośrednika Finansowego będą oprocentowane na warunkach korzystniejszych niż rynkowe zgodnie z zasadami udzielania pomocy de </w:t>
      </w:r>
      <w:proofErr w:type="spellStart"/>
      <w:r w:rsidRPr="00A93F50">
        <w:rPr>
          <w:rFonts w:asciiTheme="minorHAnsi" w:hAnsiTheme="minorHAnsi" w:cstheme="minorHAnsi"/>
          <w:color w:val="auto"/>
          <w:sz w:val="22"/>
          <w:szCs w:val="22"/>
        </w:rPr>
        <w:t>minimis</w:t>
      </w:r>
      <w:proofErr w:type="spellEnd"/>
      <w:r w:rsidRPr="00A93F50">
        <w:rPr>
          <w:rFonts w:asciiTheme="minorHAnsi" w:hAnsiTheme="minorHAnsi" w:cstheme="minorHAnsi"/>
          <w:color w:val="auto"/>
          <w:sz w:val="22"/>
          <w:szCs w:val="22"/>
        </w:rPr>
        <w:t xml:space="preserve">, o których mowa w: </w:t>
      </w:r>
    </w:p>
    <w:p w14:paraId="3A1FFA74" w14:textId="77777777" w:rsidR="00A93F50" w:rsidRPr="00A93F50" w:rsidRDefault="00A93F50" w:rsidP="00A93F50">
      <w:pPr>
        <w:pStyle w:val="Default"/>
        <w:numPr>
          <w:ilvl w:val="0"/>
          <w:numId w:val="26"/>
        </w:numPr>
        <w:jc w:val="both"/>
        <w:rPr>
          <w:rFonts w:asciiTheme="minorHAnsi" w:hAnsiTheme="minorHAnsi" w:cstheme="minorHAnsi"/>
          <w:color w:val="auto"/>
          <w:sz w:val="22"/>
          <w:szCs w:val="22"/>
        </w:rPr>
      </w:pPr>
      <w:r w:rsidRPr="00A93F50">
        <w:rPr>
          <w:rFonts w:asciiTheme="minorHAnsi" w:hAnsiTheme="minorHAnsi" w:cstheme="minorHAnsi"/>
          <w:color w:val="auto"/>
          <w:sz w:val="22"/>
          <w:szCs w:val="22"/>
        </w:rPr>
        <w:t xml:space="preserve">Rozporządzeniu Komisji (UE) 2023/2831 z dnia 13 grudnia 2023 r. w sprawie stosowania art. 107 i 108 Traktatu o funkcjonowaniu Unii Europejskiej do pomocy de </w:t>
      </w:r>
      <w:proofErr w:type="spellStart"/>
      <w:r w:rsidRPr="00A93F50">
        <w:rPr>
          <w:rFonts w:asciiTheme="minorHAnsi" w:hAnsiTheme="minorHAnsi" w:cstheme="minorHAnsi"/>
          <w:color w:val="auto"/>
          <w:sz w:val="22"/>
          <w:szCs w:val="22"/>
        </w:rPr>
        <w:t>minimis</w:t>
      </w:r>
      <w:proofErr w:type="spellEnd"/>
      <w:r w:rsidRPr="00A93F50">
        <w:rPr>
          <w:rFonts w:asciiTheme="minorHAnsi" w:hAnsiTheme="minorHAnsi" w:cstheme="minorHAnsi"/>
          <w:color w:val="auto"/>
          <w:sz w:val="22"/>
          <w:szCs w:val="22"/>
        </w:rPr>
        <w:t xml:space="preserve"> (Dz. Urz. UE L, 2023/2831 z 15.12.2023),</w:t>
      </w:r>
    </w:p>
    <w:p w14:paraId="77D8007D" w14:textId="77777777" w:rsidR="00A93F50" w:rsidRPr="00A93F50" w:rsidRDefault="00A93F50" w:rsidP="00A93F50">
      <w:pPr>
        <w:pStyle w:val="Default"/>
        <w:numPr>
          <w:ilvl w:val="0"/>
          <w:numId w:val="26"/>
        </w:numPr>
        <w:jc w:val="both"/>
        <w:rPr>
          <w:rFonts w:asciiTheme="minorHAnsi" w:hAnsiTheme="minorHAnsi" w:cstheme="minorHAnsi"/>
          <w:color w:val="auto"/>
          <w:sz w:val="22"/>
          <w:szCs w:val="22"/>
        </w:rPr>
      </w:pPr>
      <w:r w:rsidRPr="00A93F50">
        <w:rPr>
          <w:rFonts w:asciiTheme="minorHAnsi" w:hAnsiTheme="minorHAnsi" w:cstheme="minorHAnsi"/>
          <w:color w:val="auto"/>
          <w:sz w:val="22"/>
          <w:szCs w:val="22"/>
        </w:rPr>
        <w:t xml:space="preserve">Rozporządzeniu Komisji (UE) 2023/2832 z dnia 13 grudnia 2023 r. w sprawie stosowania art. 107 i 108 Traktatu o funkcjonowaniu Unii Europejskiej do pomocy de </w:t>
      </w:r>
      <w:proofErr w:type="spellStart"/>
      <w:r w:rsidRPr="00A93F50">
        <w:rPr>
          <w:rFonts w:asciiTheme="minorHAnsi" w:hAnsiTheme="minorHAnsi" w:cstheme="minorHAnsi"/>
          <w:color w:val="auto"/>
          <w:sz w:val="22"/>
          <w:szCs w:val="22"/>
        </w:rPr>
        <w:t>minimis</w:t>
      </w:r>
      <w:proofErr w:type="spellEnd"/>
      <w:r w:rsidRPr="00A93F50">
        <w:rPr>
          <w:rFonts w:asciiTheme="minorHAnsi" w:hAnsiTheme="minorHAnsi" w:cstheme="minorHAnsi"/>
          <w:color w:val="auto"/>
          <w:sz w:val="22"/>
          <w:szCs w:val="22"/>
        </w:rPr>
        <w:t xml:space="preserve"> przyznawanej przedsiębiorstwom wykonującym usługi świadczone w ogólnym interesie gospodarczym (Dz. Urz. UE L, 2023/2832 z 15.12.2023).</w:t>
      </w:r>
    </w:p>
    <w:p w14:paraId="3497BF23" w14:textId="77777777" w:rsidR="007A7267" w:rsidRPr="007A7267" w:rsidRDefault="007A7267" w:rsidP="009B7A27">
      <w:pPr>
        <w:pStyle w:val="Default"/>
        <w:numPr>
          <w:ilvl w:val="0"/>
          <w:numId w:val="21"/>
        </w:numPr>
        <w:spacing w:line="276" w:lineRule="auto"/>
        <w:jc w:val="both"/>
        <w:rPr>
          <w:rFonts w:asciiTheme="minorHAnsi" w:hAnsiTheme="minorHAnsi" w:cstheme="minorHAnsi"/>
          <w:b/>
          <w:color w:val="auto"/>
          <w:sz w:val="22"/>
          <w:szCs w:val="22"/>
        </w:rPr>
      </w:pPr>
      <w:r w:rsidRPr="007A7267">
        <w:rPr>
          <w:rFonts w:asciiTheme="minorHAnsi" w:hAnsiTheme="minorHAnsi" w:cstheme="minorHAnsi"/>
          <w:color w:val="auto"/>
          <w:sz w:val="22"/>
          <w:szCs w:val="22"/>
        </w:rPr>
        <w:t xml:space="preserve">W przypadku wystąpienia pomocy w formie de </w:t>
      </w:r>
      <w:proofErr w:type="spellStart"/>
      <w:r w:rsidRPr="007A7267">
        <w:rPr>
          <w:rFonts w:asciiTheme="minorHAnsi" w:hAnsiTheme="minorHAnsi" w:cstheme="minorHAnsi"/>
          <w:color w:val="auto"/>
          <w:sz w:val="22"/>
          <w:szCs w:val="22"/>
        </w:rPr>
        <w:t>minimis</w:t>
      </w:r>
      <w:proofErr w:type="spellEnd"/>
      <w:r w:rsidRPr="007A7267">
        <w:rPr>
          <w:rFonts w:asciiTheme="minorHAnsi" w:hAnsiTheme="minorHAnsi" w:cstheme="minorHAnsi"/>
          <w:color w:val="auto"/>
          <w:sz w:val="22"/>
          <w:szCs w:val="22"/>
        </w:rPr>
        <w:t xml:space="preserve"> obowiązek badania dopuszczalności pomocy, obliczania wartości udzielonej pomocy, zgłaszania faktu udzielenia takiej pomocy, wydania stosownego zaświadczenia oraz składania sprawozdań z udzielonej pomocy publicznej do właściwej instytucji spoczywa na Pośredniku Finansowym, zgodnie z odpowiednimi przepisami. </w:t>
      </w:r>
    </w:p>
    <w:p w14:paraId="3C8C61C7" w14:textId="77777777" w:rsidR="007A7267" w:rsidRPr="007A7267" w:rsidRDefault="007A7267" w:rsidP="009B7A27">
      <w:pPr>
        <w:pStyle w:val="Default"/>
        <w:numPr>
          <w:ilvl w:val="0"/>
          <w:numId w:val="21"/>
        </w:numPr>
        <w:spacing w:line="276" w:lineRule="auto"/>
        <w:jc w:val="both"/>
        <w:rPr>
          <w:rFonts w:asciiTheme="minorHAnsi" w:hAnsiTheme="minorHAnsi" w:cstheme="minorHAnsi"/>
          <w:b/>
          <w:color w:val="auto"/>
          <w:sz w:val="22"/>
          <w:szCs w:val="22"/>
        </w:rPr>
      </w:pPr>
      <w:r w:rsidRPr="007A7267">
        <w:rPr>
          <w:rFonts w:asciiTheme="minorHAnsi" w:hAnsiTheme="minorHAnsi" w:cstheme="minorHAnsi"/>
          <w:color w:val="auto"/>
          <w:sz w:val="22"/>
          <w:szCs w:val="22"/>
        </w:rPr>
        <w:t xml:space="preserve">Obowiązek zgłoszenia faktu udzielenia takiej pomocy, wydania stosownego zaświadczenia oraz składania sprawozdań z udzielonej pomocy publicznej do właściwych instytucji spoczywa na Pośredniku Finansowym, zgodnie z Rozporządzeniem Rady Ministrów z dnia 23 grudnia 2009 r. w </w:t>
      </w:r>
      <w:r w:rsidRPr="007A7267">
        <w:rPr>
          <w:rFonts w:asciiTheme="minorHAnsi" w:hAnsiTheme="minorHAnsi" w:cstheme="minorHAnsi"/>
          <w:color w:val="auto"/>
          <w:sz w:val="22"/>
          <w:szCs w:val="22"/>
        </w:rPr>
        <w:lastRenderedPageBreak/>
        <w:t>sprawie przekazywania sprawozdań o udzielonej pomocy publicznej i informacji o nieudzieleniu takiej pomocy z wykorzystaniem aplikacji SHRIMP</w:t>
      </w:r>
      <w:r w:rsidR="00117C19">
        <w:rPr>
          <w:rFonts w:asciiTheme="minorHAnsi" w:hAnsiTheme="minorHAnsi" w:cstheme="minorHAnsi"/>
          <w:color w:val="auto"/>
          <w:sz w:val="22"/>
          <w:szCs w:val="22"/>
        </w:rPr>
        <w:t>.</w:t>
      </w:r>
    </w:p>
    <w:p w14:paraId="708FF4BE" w14:textId="77777777" w:rsidR="007A7267" w:rsidRPr="007A7267" w:rsidRDefault="007A7267" w:rsidP="009B7A27">
      <w:pPr>
        <w:pStyle w:val="Default"/>
        <w:numPr>
          <w:ilvl w:val="0"/>
          <w:numId w:val="21"/>
        </w:numPr>
        <w:spacing w:line="276" w:lineRule="auto"/>
        <w:jc w:val="both"/>
        <w:rPr>
          <w:rFonts w:asciiTheme="minorHAnsi" w:hAnsiTheme="minorHAnsi" w:cstheme="minorHAnsi"/>
          <w:b/>
          <w:color w:val="auto"/>
          <w:sz w:val="22"/>
          <w:szCs w:val="22"/>
        </w:rPr>
      </w:pPr>
      <w:r w:rsidRPr="007A7267">
        <w:rPr>
          <w:rFonts w:asciiTheme="minorHAnsi" w:hAnsiTheme="minorHAnsi" w:cstheme="minorHAnsi"/>
          <w:color w:val="auto"/>
          <w:sz w:val="22"/>
          <w:szCs w:val="22"/>
        </w:rPr>
        <w:t xml:space="preserve">W przypadku przedsięwzięć realizowanych przez Ostatecznych Odbiorców w ramach przynajmniej jednej z preferencji wskazanych w pkt. VII, Jednostkowe Pożyczki udzielane przez Pośrednika Finansowego będą udzielane na warunkach korzystniejszych niż rynkowe i oprocentowane będą na poziomie: </w:t>
      </w:r>
    </w:p>
    <w:p w14:paraId="5DAD1AFA" w14:textId="77777777" w:rsidR="007A7267" w:rsidRPr="007A7267" w:rsidRDefault="007A7267" w:rsidP="009B7A27">
      <w:pPr>
        <w:pStyle w:val="Default"/>
        <w:numPr>
          <w:ilvl w:val="0"/>
          <w:numId w:val="22"/>
        </w:numPr>
        <w:spacing w:line="276" w:lineRule="auto"/>
        <w:jc w:val="both"/>
        <w:rPr>
          <w:rFonts w:asciiTheme="minorHAnsi" w:hAnsiTheme="minorHAnsi" w:cstheme="minorHAnsi"/>
          <w:b/>
          <w:color w:val="auto"/>
          <w:sz w:val="22"/>
          <w:szCs w:val="22"/>
        </w:rPr>
      </w:pPr>
      <w:r w:rsidRPr="007A7267">
        <w:rPr>
          <w:rFonts w:asciiTheme="minorHAnsi" w:hAnsiTheme="minorHAnsi" w:cstheme="minorHAnsi"/>
          <w:bCs/>
          <w:color w:val="auto"/>
          <w:sz w:val="22"/>
          <w:szCs w:val="22"/>
        </w:rPr>
        <w:t xml:space="preserve">25% stopy bazowej KE, </w:t>
      </w:r>
      <w:r w:rsidRPr="007A7267">
        <w:rPr>
          <w:rFonts w:asciiTheme="minorHAnsi" w:hAnsiTheme="minorHAnsi" w:cstheme="minorHAnsi"/>
          <w:color w:val="auto"/>
          <w:sz w:val="22"/>
          <w:szCs w:val="22"/>
        </w:rPr>
        <w:t>obowiązującej w dniu zawarcia umowy Jednostkowej Pożyczki:</w:t>
      </w:r>
    </w:p>
    <w:p w14:paraId="54F0CFB2" w14:textId="77777777" w:rsidR="007A7267" w:rsidRPr="007A7267" w:rsidRDefault="007A7267" w:rsidP="009B7A27">
      <w:pPr>
        <w:pStyle w:val="Default"/>
        <w:numPr>
          <w:ilvl w:val="0"/>
          <w:numId w:val="23"/>
        </w:numPr>
        <w:spacing w:line="276" w:lineRule="auto"/>
        <w:jc w:val="both"/>
        <w:rPr>
          <w:rFonts w:asciiTheme="minorHAnsi" w:hAnsiTheme="minorHAnsi" w:cstheme="minorHAnsi"/>
          <w:b/>
          <w:color w:val="auto"/>
          <w:sz w:val="22"/>
          <w:szCs w:val="22"/>
        </w:rPr>
      </w:pPr>
      <w:r w:rsidRPr="007A7267">
        <w:rPr>
          <w:rFonts w:asciiTheme="minorHAnsi" w:hAnsiTheme="minorHAnsi" w:cstheme="minorHAnsi"/>
          <w:color w:val="auto"/>
          <w:sz w:val="22"/>
          <w:szCs w:val="22"/>
        </w:rPr>
        <w:t>dla projektów realizowanych przez podmioty działające na rynku poniżej 3 lat (preferencja opisana w pkt. VII.1.5),</w:t>
      </w:r>
    </w:p>
    <w:p w14:paraId="355CC891" w14:textId="77777777" w:rsidR="007A7267" w:rsidRPr="007A7267" w:rsidRDefault="007A7267" w:rsidP="009B7A27">
      <w:pPr>
        <w:pStyle w:val="Default"/>
        <w:numPr>
          <w:ilvl w:val="0"/>
          <w:numId w:val="23"/>
        </w:numPr>
        <w:spacing w:line="276" w:lineRule="auto"/>
        <w:jc w:val="both"/>
        <w:rPr>
          <w:rFonts w:asciiTheme="minorHAnsi" w:hAnsiTheme="minorHAnsi" w:cstheme="minorHAnsi"/>
          <w:color w:val="auto"/>
          <w:sz w:val="22"/>
          <w:szCs w:val="22"/>
        </w:rPr>
      </w:pPr>
      <w:r w:rsidRPr="007A7267">
        <w:rPr>
          <w:rFonts w:asciiTheme="minorHAnsi" w:hAnsiTheme="minorHAnsi" w:cstheme="minorHAnsi"/>
          <w:color w:val="auto"/>
          <w:sz w:val="22"/>
          <w:szCs w:val="22"/>
        </w:rPr>
        <w:t xml:space="preserve">realizowanych na obszarach o niskim poziomie aktywności gospodarczej (preferencja opisana w pkt. VII.1.6), </w:t>
      </w:r>
    </w:p>
    <w:p w14:paraId="4387218A" w14:textId="77777777" w:rsidR="007A7267" w:rsidRPr="007A7267" w:rsidRDefault="007A7267" w:rsidP="009B7A27">
      <w:pPr>
        <w:pStyle w:val="Default"/>
        <w:numPr>
          <w:ilvl w:val="0"/>
          <w:numId w:val="23"/>
        </w:numPr>
        <w:spacing w:line="276" w:lineRule="auto"/>
        <w:jc w:val="both"/>
        <w:rPr>
          <w:rFonts w:asciiTheme="minorHAnsi" w:hAnsiTheme="minorHAnsi" w:cstheme="minorHAnsi"/>
          <w:color w:val="auto"/>
          <w:sz w:val="22"/>
          <w:szCs w:val="22"/>
        </w:rPr>
      </w:pPr>
      <w:r w:rsidRPr="007A7267">
        <w:rPr>
          <w:rFonts w:asciiTheme="minorHAnsi" w:hAnsiTheme="minorHAnsi" w:cstheme="minorHAnsi"/>
          <w:color w:val="auto"/>
          <w:sz w:val="22"/>
          <w:szCs w:val="22"/>
        </w:rPr>
        <w:t>realizowane na obszarach przygranicznych (preferencja opisana w pkt. VII.1.7),</w:t>
      </w:r>
    </w:p>
    <w:p w14:paraId="321E942F" w14:textId="77777777" w:rsidR="007A7267" w:rsidRPr="007A7267" w:rsidRDefault="007A7267" w:rsidP="009B7A27">
      <w:pPr>
        <w:pStyle w:val="Default"/>
        <w:numPr>
          <w:ilvl w:val="0"/>
          <w:numId w:val="23"/>
        </w:numPr>
        <w:spacing w:line="276" w:lineRule="auto"/>
        <w:jc w:val="both"/>
        <w:rPr>
          <w:rFonts w:asciiTheme="minorHAnsi" w:hAnsiTheme="minorHAnsi" w:cstheme="minorHAnsi"/>
          <w:color w:val="auto"/>
          <w:sz w:val="22"/>
          <w:szCs w:val="22"/>
        </w:rPr>
      </w:pPr>
      <w:r w:rsidRPr="007A7267">
        <w:rPr>
          <w:rFonts w:asciiTheme="minorHAnsi" w:hAnsiTheme="minorHAnsi" w:cstheme="minorHAnsi"/>
          <w:color w:val="auto"/>
          <w:sz w:val="22"/>
          <w:szCs w:val="22"/>
        </w:rPr>
        <w:t>realizowanych na obszarach o wysokiej stopie bezrobocia (preferencja opisana w pkt. VII.1.8),</w:t>
      </w:r>
    </w:p>
    <w:p w14:paraId="5A279BE0" w14:textId="77777777" w:rsidR="007A7267" w:rsidRPr="007A7267" w:rsidRDefault="007A7267" w:rsidP="009B7A27">
      <w:pPr>
        <w:pStyle w:val="Default"/>
        <w:numPr>
          <w:ilvl w:val="0"/>
          <w:numId w:val="22"/>
        </w:numPr>
        <w:spacing w:line="276" w:lineRule="auto"/>
        <w:jc w:val="both"/>
        <w:rPr>
          <w:rFonts w:asciiTheme="minorHAnsi" w:hAnsiTheme="minorHAnsi" w:cstheme="minorHAnsi"/>
          <w:color w:val="auto"/>
          <w:sz w:val="22"/>
          <w:szCs w:val="22"/>
        </w:rPr>
      </w:pPr>
      <w:r w:rsidRPr="007A7267">
        <w:rPr>
          <w:rFonts w:asciiTheme="minorHAnsi" w:hAnsiTheme="minorHAnsi" w:cstheme="minorHAnsi"/>
          <w:bCs/>
          <w:color w:val="auto"/>
          <w:sz w:val="22"/>
          <w:szCs w:val="22"/>
        </w:rPr>
        <w:t xml:space="preserve">50% stopy bazowej KE, </w:t>
      </w:r>
      <w:r w:rsidRPr="007A7267">
        <w:rPr>
          <w:rFonts w:asciiTheme="minorHAnsi" w:hAnsiTheme="minorHAnsi" w:cstheme="minorHAnsi"/>
          <w:color w:val="auto"/>
          <w:sz w:val="22"/>
          <w:szCs w:val="22"/>
        </w:rPr>
        <w:t>obowiązującej w dniu zawarcia umowy Jednostkowej Pożyczki − dla projektów:</w:t>
      </w:r>
    </w:p>
    <w:p w14:paraId="3C93C12F" w14:textId="77777777" w:rsidR="007A7267" w:rsidRPr="007A7267" w:rsidRDefault="007A7267" w:rsidP="009B7A27">
      <w:pPr>
        <w:pStyle w:val="Default"/>
        <w:numPr>
          <w:ilvl w:val="0"/>
          <w:numId w:val="24"/>
        </w:numPr>
        <w:spacing w:line="276" w:lineRule="auto"/>
        <w:jc w:val="both"/>
        <w:rPr>
          <w:rFonts w:asciiTheme="minorHAnsi" w:hAnsiTheme="minorHAnsi" w:cstheme="minorHAnsi"/>
          <w:color w:val="auto"/>
          <w:sz w:val="22"/>
          <w:szCs w:val="22"/>
        </w:rPr>
      </w:pPr>
      <w:r w:rsidRPr="007A7267">
        <w:rPr>
          <w:rFonts w:asciiTheme="minorHAnsi" w:hAnsiTheme="minorHAnsi" w:cstheme="minorHAnsi"/>
          <w:color w:val="auto"/>
          <w:sz w:val="22"/>
          <w:szCs w:val="22"/>
        </w:rPr>
        <w:t xml:space="preserve">wpływających na rozwój inteligentnych specjalizacji województwa warmińsko – mazurskiego (preferencja opisana w pkt. VII.1.1), </w:t>
      </w:r>
    </w:p>
    <w:p w14:paraId="0B66F5A1" w14:textId="77777777" w:rsidR="007A7267" w:rsidRPr="007A7267" w:rsidRDefault="007A7267" w:rsidP="009B7A27">
      <w:pPr>
        <w:pStyle w:val="Default"/>
        <w:numPr>
          <w:ilvl w:val="0"/>
          <w:numId w:val="24"/>
        </w:numPr>
        <w:spacing w:line="276" w:lineRule="auto"/>
        <w:jc w:val="both"/>
        <w:rPr>
          <w:rFonts w:asciiTheme="minorHAnsi" w:hAnsiTheme="minorHAnsi" w:cstheme="minorHAnsi"/>
          <w:color w:val="auto"/>
          <w:sz w:val="22"/>
          <w:szCs w:val="22"/>
        </w:rPr>
      </w:pPr>
      <w:r w:rsidRPr="007A7267">
        <w:rPr>
          <w:rFonts w:asciiTheme="minorHAnsi" w:hAnsiTheme="minorHAnsi" w:cstheme="minorHAnsi"/>
          <w:color w:val="auto"/>
          <w:sz w:val="22"/>
          <w:szCs w:val="22"/>
        </w:rPr>
        <w:t>wykazujących wpływ na oszczędność surowców i energii (preferencja opisana w pkt. VII.1.2),</w:t>
      </w:r>
    </w:p>
    <w:p w14:paraId="07E9D4E5" w14:textId="77777777" w:rsidR="007A7267" w:rsidRPr="007A7267" w:rsidRDefault="007A7267" w:rsidP="009B7A27">
      <w:pPr>
        <w:pStyle w:val="Default"/>
        <w:numPr>
          <w:ilvl w:val="0"/>
          <w:numId w:val="24"/>
        </w:numPr>
        <w:spacing w:line="276" w:lineRule="auto"/>
        <w:jc w:val="both"/>
        <w:rPr>
          <w:rFonts w:asciiTheme="minorHAnsi" w:hAnsiTheme="minorHAnsi" w:cstheme="minorHAnsi"/>
          <w:color w:val="auto"/>
          <w:sz w:val="22"/>
          <w:szCs w:val="22"/>
        </w:rPr>
      </w:pPr>
      <w:r w:rsidRPr="007A7267">
        <w:rPr>
          <w:rFonts w:asciiTheme="minorHAnsi" w:hAnsiTheme="minorHAnsi" w:cstheme="minorHAnsi"/>
          <w:color w:val="auto"/>
          <w:sz w:val="22"/>
          <w:szCs w:val="22"/>
        </w:rPr>
        <w:t>wykazujących wpływ na oszczędność emisji szkodliwych gazów do środowiska (preferencja opisana w pkt. VII.1.3),</w:t>
      </w:r>
    </w:p>
    <w:p w14:paraId="3098F988" w14:textId="77777777" w:rsidR="007A7267" w:rsidRPr="007A7267" w:rsidRDefault="007A7267" w:rsidP="009B7A27">
      <w:pPr>
        <w:pStyle w:val="Default"/>
        <w:numPr>
          <w:ilvl w:val="0"/>
          <w:numId w:val="24"/>
        </w:numPr>
        <w:spacing w:line="276" w:lineRule="auto"/>
        <w:jc w:val="both"/>
        <w:rPr>
          <w:rFonts w:asciiTheme="minorHAnsi" w:hAnsiTheme="minorHAnsi" w:cstheme="minorHAnsi"/>
          <w:color w:val="auto"/>
          <w:sz w:val="22"/>
          <w:szCs w:val="22"/>
        </w:rPr>
      </w:pPr>
      <w:r w:rsidRPr="007A7267">
        <w:rPr>
          <w:rFonts w:asciiTheme="minorHAnsi" w:hAnsiTheme="minorHAnsi" w:cstheme="minorHAnsi"/>
          <w:color w:val="auto"/>
          <w:sz w:val="22"/>
          <w:szCs w:val="22"/>
        </w:rPr>
        <w:t>wykazujących wpływ na rozwój innowacyjności przedsiębiorstwa (preferencja opisana w pkt. VII.1.4),</w:t>
      </w:r>
    </w:p>
    <w:p w14:paraId="77A9B3EA" w14:textId="77777777" w:rsidR="007A7267" w:rsidRPr="007A7267" w:rsidRDefault="007A7267" w:rsidP="009B7A27">
      <w:pPr>
        <w:pStyle w:val="Default"/>
        <w:numPr>
          <w:ilvl w:val="0"/>
          <w:numId w:val="24"/>
        </w:numPr>
        <w:spacing w:line="276" w:lineRule="auto"/>
        <w:jc w:val="both"/>
        <w:rPr>
          <w:rFonts w:asciiTheme="minorHAnsi" w:hAnsiTheme="minorHAnsi" w:cstheme="minorHAnsi"/>
          <w:color w:val="auto"/>
          <w:sz w:val="22"/>
          <w:szCs w:val="22"/>
        </w:rPr>
      </w:pPr>
      <w:r w:rsidRPr="007A7267">
        <w:rPr>
          <w:rFonts w:asciiTheme="minorHAnsi" w:hAnsiTheme="minorHAnsi" w:cstheme="minorHAnsi"/>
          <w:color w:val="auto"/>
          <w:sz w:val="22"/>
          <w:szCs w:val="22"/>
        </w:rPr>
        <w:t>przyczyniających się do tworzenia trwałych miejsc pracy (preferencja opisana w pkt. VII.1.9).</w:t>
      </w:r>
    </w:p>
    <w:p w14:paraId="44680C39" w14:textId="77777777" w:rsidR="007A7267" w:rsidRPr="007A7267" w:rsidRDefault="007A7267" w:rsidP="009B7A27">
      <w:pPr>
        <w:pStyle w:val="Default"/>
        <w:numPr>
          <w:ilvl w:val="0"/>
          <w:numId w:val="25"/>
        </w:numPr>
        <w:spacing w:line="276" w:lineRule="auto"/>
        <w:jc w:val="both"/>
        <w:rPr>
          <w:rFonts w:asciiTheme="minorHAnsi" w:hAnsiTheme="minorHAnsi" w:cstheme="minorHAnsi"/>
          <w:b/>
          <w:color w:val="auto"/>
          <w:sz w:val="22"/>
          <w:szCs w:val="22"/>
        </w:rPr>
      </w:pPr>
      <w:r w:rsidRPr="007A7267">
        <w:rPr>
          <w:rFonts w:asciiTheme="minorHAnsi" w:hAnsiTheme="minorHAnsi" w:cstheme="minorHAnsi"/>
          <w:color w:val="auto"/>
          <w:sz w:val="22"/>
          <w:szCs w:val="22"/>
        </w:rPr>
        <w:t xml:space="preserve">W przypadku niespełnienia przez Ostatecznego Odbiorcę warunków do uzyskania pożyczki na warunkach korzystniejszych niż rynkowe, pośrednik będzie miał możliwości udzielenia pożyczki na warunkach rynkowych, według stopy referencyjnej obliczanej przy zastosowaniu obowiązującej stopy bazowej oraz marży ustalonej w oparciu o Komunikat Komisji Europejskiej w sprawie zmiany metody ustalania stóp referencyjnych i dyskontowych (Dz. Urz. UE C 14 z 19.1.2008 r., str. 6 lub komunikatu zastępującego) oraz po przeprowadzeniu analizy ryzyka niespłacenia zaciągniętego przez przedsiębiorcę zobowiązania na podstawie wdrożonej i akceptowanej w sektorze finansowym metodologii wyznaczania współczynnika ryzyka. </w:t>
      </w:r>
    </w:p>
    <w:p w14:paraId="66A9B60E" w14:textId="77777777" w:rsidR="007A7267" w:rsidRPr="007A7267" w:rsidRDefault="007A7267" w:rsidP="009B7A27">
      <w:pPr>
        <w:pStyle w:val="Default"/>
        <w:numPr>
          <w:ilvl w:val="0"/>
          <w:numId w:val="25"/>
        </w:numPr>
        <w:spacing w:line="276" w:lineRule="auto"/>
        <w:jc w:val="both"/>
        <w:rPr>
          <w:rFonts w:asciiTheme="minorHAnsi" w:hAnsiTheme="minorHAnsi" w:cstheme="minorHAnsi"/>
          <w:b/>
          <w:color w:val="auto"/>
          <w:sz w:val="22"/>
          <w:szCs w:val="22"/>
        </w:rPr>
      </w:pPr>
      <w:r w:rsidRPr="007A7267">
        <w:rPr>
          <w:rFonts w:asciiTheme="minorHAnsi" w:hAnsiTheme="minorHAnsi" w:cstheme="minorHAnsi"/>
          <w:color w:val="auto"/>
          <w:sz w:val="22"/>
          <w:szCs w:val="22"/>
        </w:rPr>
        <w:t xml:space="preserve">Od środków Jednostkowej Pożyczki Regionalnej dla MŚP nie pobiera się żadnych opłat i prowizji związanych z ich udostępnieniem i obsługą. Powyższe nie dotyczy odrębnie uregulowanych czynności windykacyjnych. </w:t>
      </w:r>
    </w:p>
    <w:p w14:paraId="17BA1EA4" w14:textId="77777777" w:rsidR="007A7267" w:rsidRPr="00527E4F" w:rsidRDefault="007A7267" w:rsidP="007A7267">
      <w:pPr>
        <w:tabs>
          <w:tab w:val="num" w:pos="426"/>
        </w:tabs>
        <w:spacing w:after="120"/>
        <w:jc w:val="both"/>
        <w:rPr>
          <w:sz w:val="20"/>
        </w:rPr>
      </w:pPr>
    </w:p>
    <w:tbl>
      <w:tblPr>
        <w:tblStyle w:val="Tabela-Siatka"/>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tblGrid>
      <w:tr w:rsidR="004E6364" w14:paraId="6B9381F2" w14:textId="77777777" w:rsidTr="00527E4F">
        <w:tc>
          <w:tcPr>
            <w:tcW w:w="3212" w:type="dxa"/>
            <w:tcBorders>
              <w:bottom w:val="dotted" w:sz="4" w:space="0" w:color="auto"/>
            </w:tcBorders>
          </w:tcPr>
          <w:p w14:paraId="5A362E1A" w14:textId="77777777" w:rsidR="004E6364" w:rsidRDefault="004E6364" w:rsidP="00527E4F">
            <w:pPr>
              <w:tabs>
                <w:tab w:val="num" w:pos="426"/>
              </w:tabs>
              <w:spacing w:after="120" w:line="276" w:lineRule="auto"/>
              <w:jc w:val="both"/>
            </w:pPr>
          </w:p>
        </w:tc>
      </w:tr>
      <w:tr w:rsidR="004E6364" w14:paraId="65256FC9" w14:textId="77777777" w:rsidTr="00527E4F">
        <w:tc>
          <w:tcPr>
            <w:tcW w:w="3212" w:type="dxa"/>
            <w:tcBorders>
              <w:top w:val="dotted" w:sz="4" w:space="0" w:color="auto"/>
            </w:tcBorders>
          </w:tcPr>
          <w:p w14:paraId="14ED0D57" w14:textId="77777777" w:rsidR="004E6364" w:rsidRPr="004E6364" w:rsidRDefault="004E6364" w:rsidP="00527E4F">
            <w:pPr>
              <w:tabs>
                <w:tab w:val="num" w:pos="426"/>
              </w:tabs>
              <w:spacing w:after="120" w:line="276" w:lineRule="auto"/>
              <w:jc w:val="both"/>
              <w:rPr>
                <w:sz w:val="16"/>
                <w:szCs w:val="16"/>
              </w:rPr>
            </w:pPr>
            <w:r w:rsidRPr="004E6364">
              <w:rPr>
                <w:rFonts w:asciiTheme="minorHAnsi" w:eastAsiaTheme="minorHAnsi" w:hAnsiTheme="minorHAnsi"/>
                <w:sz w:val="16"/>
                <w:szCs w:val="16"/>
                <w:lang w:eastAsia="en-US"/>
              </w:rPr>
              <w:t xml:space="preserve">Podpis </w:t>
            </w:r>
            <w:r w:rsidR="00511011">
              <w:rPr>
                <w:rFonts w:asciiTheme="minorHAnsi" w:eastAsiaTheme="minorHAnsi" w:hAnsiTheme="minorHAnsi"/>
                <w:sz w:val="16"/>
                <w:szCs w:val="16"/>
                <w:lang w:eastAsia="en-US"/>
              </w:rPr>
              <w:t>pożyczkodawcy</w:t>
            </w:r>
          </w:p>
        </w:tc>
      </w:tr>
    </w:tbl>
    <w:p w14:paraId="683E6029" w14:textId="5DEDE3AB" w:rsidR="004E6364" w:rsidRPr="00527E4F" w:rsidRDefault="00527E4F" w:rsidP="007A7267">
      <w:pPr>
        <w:tabs>
          <w:tab w:val="num" w:pos="426"/>
        </w:tabs>
        <w:spacing w:after="120"/>
        <w:jc w:val="both"/>
        <w:rPr>
          <w:sz w:val="16"/>
        </w:rPr>
      </w:pPr>
      <w:r>
        <w:rPr>
          <w:sz w:val="18"/>
        </w:rPr>
        <w:br w:type="textWrapping" w:clear="all"/>
      </w:r>
    </w:p>
    <w:p w14:paraId="3BFC058C" w14:textId="77777777" w:rsidR="004E6364" w:rsidRDefault="004E6364" w:rsidP="007A7267">
      <w:pPr>
        <w:tabs>
          <w:tab w:val="num" w:pos="426"/>
        </w:tabs>
        <w:spacing w:after="120"/>
        <w:jc w:val="both"/>
      </w:pPr>
      <w:r>
        <w:t>Oświadczam, iż zapoznałem się z treścią niniejszego dokumentu:</w:t>
      </w:r>
    </w:p>
    <w:tbl>
      <w:tblPr>
        <w:tblStyle w:val="Tabela-Siatka"/>
        <w:tblW w:w="0" w:type="auto"/>
        <w:tblLook w:val="04A0" w:firstRow="1" w:lastRow="0" w:firstColumn="1" w:lastColumn="0" w:noHBand="0" w:noVBand="1"/>
      </w:tblPr>
      <w:tblGrid>
        <w:gridCol w:w="3212"/>
      </w:tblGrid>
      <w:tr w:rsidR="004E6364" w14:paraId="5979BE4E" w14:textId="77777777" w:rsidTr="004E6364">
        <w:tc>
          <w:tcPr>
            <w:tcW w:w="3212" w:type="dxa"/>
            <w:tcBorders>
              <w:top w:val="nil"/>
              <w:left w:val="nil"/>
              <w:bottom w:val="dotted" w:sz="4" w:space="0" w:color="auto"/>
              <w:right w:val="nil"/>
            </w:tcBorders>
          </w:tcPr>
          <w:p w14:paraId="5EC57DD8" w14:textId="77777777" w:rsidR="004E6364" w:rsidRDefault="004E6364" w:rsidP="007A7267">
            <w:pPr>
              <w:tabs>
                <w:tab w:val="num" w:pos="426"/>
              </w:tabs>
              <w:spacing w:after="120" w:line="276" w:lineRule="auto"/>
              <w:jc w:val="both"/>
            </w:pPr>
          </w:p>
        </w:tc>
      </w:tr>
      <w:tr w:rsidR="004E6364" w14:paraId="7BCE9A96" w14:textId="77777777" w:rsidTr="004E6364">
        <w:tc>
          <w:tcPr>
            <w:tcW w:w="3212" w:type="dxa"/>
            <w:tcBorders>
              <w:top w:val="dotted" w:sz="4" w:space="0" w:color="auto"/>
              <w:left w:val="nil"/>
              <w:bottom w:val="nil"/>
              <w:right w:val="nil"/>
            </w:tcBorders>
          </w:tcPr>
          <w:p w14:paraId="2E869353" w14:textId="77777777" w:rsidR="004E6364" w:rsidRPr="004E6364" w:rsidRDefault="004E6364" w:rsidP="007A7267">
            <w:pPr>
              <w:tabs>
                <w:tab w:val="num" w:pos="426"/>
              </w:tabs>
              <w:spacing w:after="120" w:line="276" w:lineRule="auto"/>
              <w:jc w:val="both"/>
              <w:rPr>
                <w:sz w:val="16"/>
                <w:szCs w:val="16"/>
              </w:rPr>
            </w:pPr>
            <w:r w:rsidRPr="004E6364">
              <w:rPr>
                <w:rFonts w:asciiTheme="minorHAnsi" w:eastAsiaTheme="minorHAnsi" w:hAnsiTheme="minorHAnsi"/>
                <w:sz w:val="16"/>
                <w:szCs w:val="16"/>
                <w:lang w:eastAsia="en-US"/>
              </w:rPr>
              <w:t xml:space="preserve">Podpis </w:t>
            </w:r>
            <w:r w:rsidR="003E578E">
              <w:rPr>
                <w:rFonts w:asciiTheme="minorHAnsi" w:eastAsiaTheme="minorHAnsi" w:hAnsiTheme="minorHAnsi"/>
                <w:sz w:val="16"/>
                <w:szCs w:val="16"/>
                <w:lang w:eastAsia="en-US"/>
              </w:rPr>
              <w:t>pożyczkobiorcy</w:t>
            </w:r>
          </w:p>
        </w:tc>
      </w:tr>
    </w:tbl>
    <w:p w14:paraId="400D589D" w14:textId="77777777" w:rsidR="004E6364" w:rsidRPr="00F854F4" w:rsidRDefault="004E6364" w:rsidP="00527E4F">
      <w:pPr>
        <w:tabs>
          <w:tab w:val="num" w:pos="426"/>
        </w:tabs>
        <w:spacing w:after="120"/>
        <w:jc w:val="both"/>
      </w:pPr>
    </w:p>
    <w:sectPr w:rsidR="004E6364" w:rsidRPr="00F854F4" w:rsidSect="004609EA">
      <w:headerReference w:type="default" r:id="rId8"/>
      <w:footerReference w:type="default" r:id="rId9"/>
      <w:headerReference w:type="first" r:id="rId10"/>
      <w:footerReference w:type="first" r:id="rId11"/>
      <w:pgSz w:w="11906" w:h="16838"/>
      <w:pgMar w:top="1417" w:right="1133" w:bottom="1135" w:left="993" w:header="567" w:footer="5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508F7" w14:textId="77777777" w:rsidR="00BD44E2" w:rsidRDefault="00BD44E2" w:rsidP="00BA3860">
      <w:pPr>
        <w:spacing w:after="0" w:line="240" w:lineRule="auto"/>
      </w:pPr>
      <w:r>
        <w:separator/>
      </w:r>
    </w:p>
  </w:endnote>
  <w:endnote w:type="continuationSeparator" w:id="0">
    <w:p w14:paraId="1A52598E" w14:textId="77777777" w:rsidR="00BD44E2" w:rsidRDefault="00BD44E2" w:rsidP="00BA3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6152659"/>
      <w:docPartObj>
        <w:docPartGallery w:val="Page Numbers (Bottom of Page)"/>
        <w:docPartUnique/>
      </w:docPartObj>
    </w:sdtPr>
    <w:sdtEndPr/>
    <w:sdtContent>
      <w:sdt>
        <w:sdtPr>
          <w:id w:val="-1669238322"/>
          <w:docPartObj>
            <w:docPartGallery w:val="Page Numbers (Top of Page)"/>
            <w:docPartUnique/>
          </w:docPartObj>
        </w:sdtPr>
        <w:sdtEndPr/>
        <w:sdtContent>
          <w:p w14:paraId="3D8343E3" w14:textId="77777777" w:rsidR="00F57684" w:rsidRDefault="00F57684">
            <w:pPr>
              <w:pStyle w:val="Stopka"/>
              <w:jc w:val="center"/>
            </w:pPr>
            <w:r>
              <w:t xml:space="preserve">Strona </w:t>
            </w:r>
            <w:r w:rsidR="00AF05F9">
              <w:rPr>
                <w:b/>
                <w:bCs/>
                <w:sz w:val="24"/>
                <w:szCs w:val="24"/>
              </w:rPr>
              <w:fldChar w:fldCharType="begin"/>
            </w:r>
            <w:r>
              <w:rPr>
                <w:b/>
                <w:bCs/>
              </w:rPr>
              <w:instrText>PAGE</w:instrText>
            </w:r>
            <w:r w:rsidR="00AF05F9">
              <w:rPr>
                <w:b/>
                <w:bCs/>
                <w:sz w:val="24"/>
                <w:szCs w:val="24"/>
              </w:rPr>
              <w:fldChar w:fldCharType="separate"/>
            </w:r>
            <w:r w:rsidR="00527E4F">
              <w:rPr>
                <w:b/>
                <w:bCs/>
                <w:noProof/>
              </w:rPr>
              <w:t>4</w:t>
            </w:r>
            <w:r w:rsidR="00AF05F9">
              <w:rPr>
                <w:b/>
                <w:bCs/>
                <w:sz w:val="24"/>
                <w:szCs w:val="24"/>
              </w:rPr>
              <w:fldChar w:fldCharType="end"/>
            </w:r>
            <w:r>
              <w:t xml:space="preserve"> z </w:t>
            </w:r>
            <w:r w:rsidR="00AF05F9">
              <w:rPr>
                <w:b/>
                <w:bCs/>
                <w:sz w:val="24"/>
                <w:szCs w:val="24"/>
              </w:rPr>
              <w:fldChar w:fldCharType="begin"/>
            </w:r>
            <w:r>
              <w:rPr>
                <w:b/>
                <w:bCs/>
              </w:rPr>
              <w:instrText>NUMPAGES</w:instrText>
            </w:r>
            <w:r w:rsidR="00AF05F9">
              <w:rPr>
                <w:b/>
                <w:bCs/>
                <w:sz w:val="24"/>
                <w:szCs w:val="24"/>
              </w:rPr>
              <w:fldChar w:fldCharType="separate"/>
            </w:r>
            <w:r w:rsidR="00527E4F">
              <w:rPr>
                <w:b/>
                <w:bCs/>
                <w:noProof/>
              </w:rPr>
              <w:t>7</w:t>
            </w:r>
            <w:r w:rsidR="00AF05F9">
              <w:rPr>
                <w:b/>
                <w:bCs/>
                <w:sz w:val="24"/>
                <w:szCs w:val="24"/>
              </w:rPr>
              <w:fldChar w:fldCharType="end"/>
            </w:r>
          </w:p>
        </w:sdtContent>
      </w:sdt>
    </w:sdtContent>
  </w:sdt>
  <w:p w14:paraId="6FD036F3" w14:textId="77777777" w:rsidR="003E4B31" w:rsidRDefault="003E4B3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5725017"/>
      <w:docPartObj>
        <w:docPartGallery w:val="Page Numbers (Bottom of Page)"/>
        <w:docPartUnique/>
      </w:docPartObj>
    </w:sdtPr>
    <w:sdtEndPr/>
    <w:sdtContent>
      <w:sdt>
        <w:sdtPr>
          <w:id w:val="-1255288381"/>
          <w:docPartObj>
            <w:docPartGallery w:val="Page Numbers (Top of Page)"/>
            <w:docPartUnique/>
          </w:docPartObj>
        </w:sdtPr>
        <w:sdtEndPr/>
        <w:sdtContent>
          <w:p w14:paraId="5A895C88" w14:textId="77777777" w:rsidR="004609EA" w:rsidRDefault="004609EA">
            <w:pPr>
              <w:pStyle w:val="Stopka"/>
              <w:jc w:val="center"/>
            </w:pPr>
            <w:r>
              <w:rPr>
                <w:noProof/>
                <w:lang w:eastAsia="pl-PL"/>
              </w:rPr>
              <w:drawing>
                <wp:inline distT="0" distB="0" distL="0" distR="0" wp14:anchorId="451C8D44" wp14:editId="73644078">
                  <wp:extent cx="3952875" cy="685800"/>
                  <wp:effectExtent l="0" t="0" r="9525"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2875" cy="685800"/>
                          </a:xfrm>
                          <a:prstGeom prst="rect">
                            <a:avLst/>
                          </a:prstGeom>
                          <a:noFill/>
                          <a:ln>
                            <a:noFill/>
                          </a:ln>
                        </pic:spPr>
                      </pic:pic>
                    </a:graphicData>
                  </a:graphic>
                </wp:inline>
              </w:drawing>
            </w:r>
          </w:p>
          <w:p w14:paraId="6154B77E" w14:textId="62AFACDD" w:rsidR="00942C2C" w:rsidRDefault="00942C2C">
            <w:pPr>
              <w:pStyle w:val="Stopka"/>
              <w:jc w:val="center"/>
            </w:pPr>
            <w:r>
              <w:t xml:space="preserve">Strona </w:t>
            </w:r>
            <w:r>
              <w:rPr>
                <w:b/>
                <w:sz w:val="24"/>
                <w:szCs w:val="24"/>
              </w:rPr>
              <w:fldChar w:fldCharType="begin"/>
            </w:r>
            <w:r>
              <w:rPr>
                <w:b/>
              </w:rPr>
              <w:instrText>PAGE</w:instrText>
            </w:r>
            <w:r>
              <w:rPr>
                <w:b/>
                <w:sz w:val="24"/>
                <w:szCs w:val="24"/>
              </w:rPr>
              <w:fldChar w:fldCharType="separate"/>
            </w:r>
            <w:r w:rsidR="00527E4F">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527E4F">
              <w:rPr>
                <w:b/>
                <w:noProof/>
              </w:rPr>
              <w:t>7</w:t>
            </w:r>
            <w:r>
              <w:rPr>
                <w:b/>
                <w:sz w:val="24"/>
                <w:szCs w:val="24"/>
              </w:rPr>
              <w:fldChar w:fldCharType="end"/>
            </w:r>
          </w:p>
        </w:sdtContent>
      </w:sdt>
    </w:sdtContent>
  </w:sdt>
  <w:p w14:paraId="0A105629" w14:textId="77777777" w:rsidR="00942C2C" w:rsidRDefault="00942C2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D1FA8C" w14:textId="77777777" w:rsidR="00BD44E2" w:rsidRDefault="00BD44E2" w:rsidP="00BA3860">
      <w:pPr>
        <w:spacing w:after="0" w:line="240" w:lineRule="auto"/>
      </w:pPr>
      <w:r>
        <w:separator/>
      </w:r>
    </w:p>
  </w:footnote>
  <w:footnote w:type="continuationSeparator" w:id="0">
    <w:p w14:paraId="5672A606" w14:textId="77777777" w:rsidR="00BD44E2" w:rsidRDefault="00BD44E2" w:rsidP="00BA3860">
      <w:pPr>
        <w:spacing w:after="0" w:line="240" w:lineRule="auto"/>
      </w:pPr>
      <w:r>
        <w:continuationSeparator/>
      </w:r>
    </w:p>
  </w:footnote>
  <w:footnote w:id="1">
    <w:p w14:paraId="225BD7F7" w14:textId="77777777" w:rsidR="007A7267" w:rsidRPr="000C3BAA" w:rsidRDefault="007A7267" w:rsidP="007A7267">
      <w:pPr>
        <w:pStyle w:val="Tekstprzypisudolnego"/>
        <w:jc w:val="both"/>
        <w:rPr>
          <w:rFonts w:cstheme="minorHAnsi"/>
        </w:rPr>
      </w:pPr>
      <w:r>
        <w:rPr>
          <w:rStyle w:val="Odwoanieprzypisudolnego"/>
        </w:rPr>
        <w:footnoteRef/>
      </w:r>
      <w:r>
        <w:t xml:space="preserve"> </w:t>
      </w:r>
      <w:r w:rsidRPr="000C3BAA">
        <w:rPr>
          <w:rFonts w:cstheme="minorHAnsi"/>
        </w:rPr>
        <w:t>Jednostkowa Pożyczka może finansować zakup nieruchomości niemieszkalnych, przeznaczonych pod wynajem krótkoterminowy na cele turystyczne.</w:t>
      </w:r>
    </w:p>
  </w:footnote>
  <w:footnote w:id="2">
    <w:p w14:paraId="3878EE9B" w14:textId="77777777" w:rsidR="007A7267" w:rsidRPr="0006522E" w:rsidRDefault="007A7267" w:rsidP="007A7267">
      <w:pPr>
        <w:pStyle w:val="Tekstprzypisudolnego"/>
        <w:jc w:val="both"/>
        <w:rPr>
          <w:rFonts w:cstheme="minorHAnsi"/>
        </w:rPr>
      </w:pPr>
      <w:r w:rsidRPr="0006522E">
        <w:rPr>
          <w:rStyle w:val="Odwoanieprzypisudolnego"/>
          <w:rFonts w:cstheme="minorHAnsi"/>
        </w:rPr>
        <w:footnoteRef/>
      </w:r>
      <w:r w:rsidRPr="0006522E">
        <w:rPr>
          <w:rFonts w:cstheme="minorHAnsi"/>
        </w:rPr>
        <w:t xml:space="preserve"> Analizy SWOT dla poszczególnych inteligentnych specjalizacji znajdują się w raportach z Badania Potencjału innowacyjnego i rozwojowego przedsiębiorstw funkcjonujących w ramach inteligentnych specjalizacji województwa warmińsko-mazurskiego, dostępnych na stronie </w:t>
      </w:r>
      <w:r w:rsidRPr="0006522E">
        <w:rPr>
          <w:rFonts w:cstheme="minorHAnsi"/>
          <w:color w:val="0000FF"/>
          <w:u w:val="single"/>
        </w:rPr>
        <w:t>biznes.warmia.mazury.pl</w:t>
      </w:r>
    </w:p>
  </w:footnote>
  <w:footnote w:id="3">
    <w:p w14:paraId="12667BEA" w14:textId="77777777" w:rsidR="007A7267" w:rsidRDefault="007A7267" w:rsidP="007A7267">
      <w:pPr>
        <w:pStyle w:val="Tekstprzypisudolnego"/>
      </w:pPr>
      <w:r>
        <w:rPr>
          <w:rStyle w:val="Odwoanieprzypisudolnego"/>
        </w:rPr>
        <w:footnoteRef/>
      </w:r>
      <w:r>
        <w:t xml:space="preserve"> </w:t>
      </w:r>
      <w:r w:rsidRPr="00953B2C">
        <w:rPr>
          <w:rFonts w:cstheme="minorHAnsi"/>
        </w:rPr>
        <w:t xml:space="preserve">Na moment </w:t>
      </w:r>
      <w:r>
        <w:rPr>
          <w:rFonts w:cstheme="minorHAnsi"/>
        </w:rPr>
        <w:t>podpisania umowy Jednostkowej Pożyczki Regionalnej dla MŚP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C802D" w14:textId="77777777" w:rsidR="00A36646" w:rsidRDefault="00A36646" w:rsidP="00A36646">
    <w:pPr>
      <w:pStyle w:val="Nagwek"/>
      <w:tabs>
        <w:tab w:val="clear" w:pos="9072"/>
        <w:tab w:val="left" w:pos="3720"/>
        <w:tab w:val="right" w:pos="9639"/>
      </w:tabs>
    </w:pPr>
    <w:r>
      <w:rPr>
        <w:noProof/>
      </w:rPr>
      <w:tab/>
      <w:t xml:space="preserve">                                </w:t>
    </w:r>
    <w:r>
      <w:rPr>
        <w:noProof/>
      </w:rPr>
      <w:tab/>
    </w:r>
  </w:p>
  <w:p w14:paraId="5A6E132A" w14:textId="77777777" w:rsidR="00F57684" w:rsidRDefault="00F57684" w:rsidP="00242BE0">
    <w:pPr>
      <w:pStyle w:val="Nagwek"/>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816B7" w14:textId="1121BBD3" w:rsidR="000248A4" w:rsidRDefault="004609EA" w:rsidP="004609EA">
    <w:pPr>
      <w:pStyle w:val="Nagwek"/>
      <w:jc w:val="center"/>
    </w:pPr>
    <w:r w:rsidRPr="00483B19">
      <w:rPr>
        <w:rFonts w:ascii="Times New Roman" w:eastAsia="Times New Roman" w:hAnsi="Times New Roman"/>
        <w:i/>
        <w:noProof/>
        <w:sz w:val="20"/>
        <w:szCs w:val="20"/>
        <w:lang w:eastAsia="pl-PL"/>
      </w:rPr>
      <w:drawing>
        <wp:inline distT="0" distB="0" distL="0" distR="0" wp14:anchorId="27495ECC" wp14:editId="44C682BD">
          <wp:extent cx="4162425" cy="676275"/>
          <wp:effectExtent l="0" t="0" r="9525"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62425"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D2F02"/>
    <w:multiLevelType w:val="hybridMultilevel"/>
    <w:tmpl w:val="5D96D9D2"/>
    <w:lvl w:ilvl="0" w:tplc="14EE2BEA">
      <w:start w:val="7"/>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55689"/>
    <w:multiLevelType w:val="hybridMultilevel"/>
    <w:tmpl w:val="F772736C"/>
    <w:lvl w:ilvl="0" w:tplc="4144394E">
      <w:start w:val="1"/>
      <w:numFmt w:val="decimal"/>
      <w:lvlText w:val="%1)"/>
      <w:lvlJc w:val="left"/>
      <w:pPr>
        <w:ind w:left="1070" w:hanging="360"/>
      </w:pPr>
      <w:rPr>
        <w:b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 w15:restartNumberingAfterBreak="0">
    <w:nsid w:val="01EE3E6A"/>
    <w:multiLevelType w:val="hybridMultilevel"/>
    <w:tmpl w:val="5858B474"/>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 w15:restartNumberingAfterBreak="0">
    <w:nsid w:val="0374219E"/>
    <w:multiLevelType w:val="hybridMultilevel"/>
    <w:tmpl w:val="9304921C"/>
    <w:lvl w:ilvl="0" w:tplc="7A36F682">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 w15:restartNumberingAfterBreak="0">
    <w:nsid w:val="08CD53D5"/>
    <w:multiLevelType w:val="hybridMultilevel"/>
    <w:tmpl w:val="4BA0CDF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B6E286A"/>
    <w:multiLevelType w:val="hybridMultilevel"/>
    <w:tmpl w:val="6CF6B8C8"/>
    <w:lvl w:ilvl="0" w:tplc="7952A7C8">
      <w:start w:val="2"/>
      <w:numFmt w:val="decimal"/>
      <w:lvlText w:val="%1)"/>
      <w:lvlJc w:val="left"/>
      <w:pPr>
        <w:ind w:left="644" w:hanging="360"/>
      </w:pPr>
      <w:rPr>
        <w:rFonts w:hint="default"/>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6" w15:restartNumberingAfterBreak="0">
    <w:nsid w:val="0D23396E"/>
    <w:multiLevelType w:val="hybridMultilevel"/>
    <w:tmpl w:val="F14A3FDE"/>
    <w:lvl w:ilvl="0" w:tplc="62C22D10">
      <w:start w:val="6"/>
      <w:numFmt w:val="decimal"/>
      <w:lvlText w:val="%1)"/>
      <w:lvlJc w:val="left"/>
      <w:pPr>
        <w:ind w:left="1070" w:hanging="360"/>
      </w:pPr>
      <w:rPr>
        <w:rFonts w:hint="default"/>
      </w:rPr>
    </w:lvl>
    <w:lvl w:ilvl="1" w:tplc="04150019" w:tentative="1">
      <w:start w:val="1"/>
      <w:numFmt w:val="lowerLetter"/>
      <w:lvlText w:val="%2."/>
      <w:lvlJc w:val="left"/>
      <w:pPr>
        <w:ind w:left="939" w:hanging="360"/>
      </w:pPr>
    </w:lvl>
    <w:lvl w:ilvl="2" w:tplc="0415001B" w:tentative="1">
      <w:start w:val="1"/>
      <w:numFmt w:val="lowerRoman"/>
      <w:lvlText w:val="%3."/>
      <w:lvlJc w:val="right"/>
      <w:pPr>
        <w:ind w:left="1659" w:hanging="180"/>
      </w:pPr>
    </w:lvl>
    <w:lvl w:ilvl="3" w:tplc="0415000F" w:tentative="1">
      <w:start w:val="1"/>
      <w:numFmt w:val="decimal"/>
      <w:lvlText w:val="%4."/>
      <w:lvlJc w:val="left"/>
      <w:pPr>
        <w:ind w:left="2379" w:hanging="360"/>
      </w:pPr>
    </w:lvl>
    <w:lvl w:ilvl="4" w:tplc="04150019" w:tentative="1">
      <w:start w:val="1"/>
      <w:numFmt w:val="lowerLetter"/>
      <w:lvlText w:val="%5."/>
      <w:lvlJc w:val="left"/>
      <w:pPr>
        <w:ind w:left="3099" w:hanging="360"/>
      </w:pPr>
    </w:lvl>
    <w:lvl w:ilvl="5" w:tplc="0415001B" w:tentative="1">
      <w:start w:val="1"/>
      <w:numFmt w:val="lowerRoman"/>
      <w:lvlText w:val="%6."/>
      <w:lvlJc w:val="right"/>
      <w:pPr>
        <w:ind w:left="3819" w:hanging="180"/>
      </w:pPr>
    </w:lvl>
    <w:lvl w:ilvl="6" w:tplc="0415000F" w:tentative="1">
      <w:start w:val="1"/>
      <w:numFmt w:val="decimal"/>
      <w:lvlText w:val="%7."/>
      <w:lvlJc w:val="left"/>
      <w:pPr>
        <w:ind w:left="4539" w:hanging="360"/>
      </w:pPr>
    </w:lvl>
    <w:lvl w:ilvl="7" w:tplc="04150019" w:tentative="1">
      <w:start w:val="1"/>
      <w:numFmt w:val="lowerLetter"/>
      <w:lvlText w:val="%8."/>
      <w:lvlJc w:val="left"/>
      <w:pPr>
        <w:ind w:left="5259" w:hanging="360"/>
      </w:pPr>
    </w:lvl>
    <w:lvl w:ilvl="8" w:tplc="0415001B" w:tentative="1">
      <w:start w:val="1"/>
      <w:numFmt w:val="lowerRoman"/>
      <w:lvlText w:val="%9."/>
      <w:lvlJc w:val="right"/>
      <w:pPr>
        <w:ind w:left="5979" w:hanging="180"/>
      </w:pPr>
    </w:lvl>
  </w:abstractNum>
  <w:abstractNum w:abstractNumId="7" w15:restartNumberingAfterBreak="0">
    <w:nsid w:val="0DFC3D23"/>
    <w:multiLevelType w:val="hybridMultilevel"/>
    <w:tmpl w:val="629EB37E"/>
    <w:lvl w:ilvl="0" w:tplc="04150011">
      <w:start w:val="1"/>
      <w:numFmt w:val="decimal"/>
      <w:lvlText w:val="%1)"/>
      <w:lvlJc w:val="left"/>
      <w:pPr>
        <w:ind w:left="1070" w:hanging="360"/>
      </w:pPr>
      <w:rPr>
        <w:b w:val="0"/>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8" w15:restartNumberingAfterBreak="0">
    <w:nsid w:val="0FBC46B6"/>
    <w:multiLevelType w:val="hybridMultilevel"/>
    <w:tmpl w:val="BDF010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AE289A"/>
    <w:multiLevelType w:val="hybridMultilevel"/>
    <w:tmpl w:val="B4941738"/>
    <w:lvl w:ilvl="0" w:tplc="0415000F">
      <w:start w:val="1"/>
      <w:numFmt w:val="decimal"/>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4925560"/>
    <w:multiLevelType w:val="hybridMultilevel"/>
    <w:tmpl w:val="C952D3F0"/>
    <w:lvl w:ilvl="0" w:tplc="F0C20C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6332E9"/>
    <w:multiLevelType w:val="hybridMultilevel"/>
    <w:tmpl w:val="AB44C5D8"/>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1A5F5918"/>
    <w:multiLevelType w:val="hybridMultilevel"/>
    <w:tmpl w:val="660E8F60"/>
    <w:lvl w:ilvl="0" w:tplc="9412E2D2">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3" w15:restartNumberingAfterBreak="0">
    <w:nsid w:val="28D074FD"/>
    <w:multiLevelType w:val="hybridMultilevel"/>
    <w:tmpl w:val="93048B44"/>
    <w:lvl w:ilvl="0" w:tplc="524A6042">
      <w:start w:val="1"/>
      <w:numFmt w:val="decimal"/>
      <w:lvlText w:val="%1)"/>
      <w:lvlJc w:val="left"/>
      <w:pPr>
        <w:ind w:left="928" w:hanging="360"/>
      </w:pPr>
      <w:rPr>
        <w:rFonts w:hint="default"/>
        <w:b w:val="0"/>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4" w15:restartNumberingAfterBreak="0">
    <w:nsid w:val="31943F55"/>
    <w:multiLevelType w:val="hybridMultilevel"/>
    <w:tmpl w:val="F83E1686"/>
    <w:lvl w:ilvl="0" w:tplc="0415000F">
      <w:start w:val="1"/>
      <w:numFmt w:val="decimal"/>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5" w15:restartNumberingAfterBreak="0">
    <w:nsid w:val="32007780"/>
    <w:multiLevelType w:val="hybridMultilevel"/>
    <w:tmpl w:val="8EB898AC"/>
    <w:lvl w:ilvl="0" w:tplc="7EE21FD4">
      <w:start w:val="4"/>
      <w:numFmt w:val="decimal"/>
      <w:lvlText w:val="%1."/>
      <w:lvlJc w:val="left"/>
      <w:pPr>
        <w:ind w:left="502" w:hanging="360"/>
      </w:pPr>
      <w:rPr>
        <w:rFonts w:hint="default"/>
        <w:b w:val="0"/>
      </w:rPr>
    </w:lvl>
    <w:lvl w:ilvl="1" w:tplc="04150019" w:tentative="1">
      <w:start w:val="1"/>
      <w:numFmt w:val="lowerLetter"/>
      <w:lvlText w:val="%2."/>
      <w:lvlJc w:val="left"/>
      <w:pPr>
        <w:ind w:left="164" w:hanging="360"/>
      </w:pPr>
    </w:lvl>
    <w:lvl w:ilvl="2" w:tplc="0415001B" w:tentative="1">
      <w:start w:val="1"/>
      <w:numFmt w:val="lowerRoman"/>
      <w:lvlText w:val="%3."/>
      <w:lvlJc w:val="right"/>
      <w:pPr>
        <w:ind w:left="884" w:hanging="180"/>
      </w:pPr>
    </w:lvl>
    <w:lvl w:ilvl="3" w:tplc="0415000F" w:tentative="1">
      <w:start w:val="1"/>
      <w:numFmt w:val="decimal"/>
      <w:lvlText w:val="%4."/>
      <w:lvlJc w:val="left"/>
      <w:pPr>
        <w:ind w:left="1604" w:hanging="360"/>
      </w:pPr>
    </w:lvl>
    <w:lvl w:ilvl="4" w:tplc="04150019" w:tentative="1">
      <w:start w:val="1"/>
      <w:numFmt w:val="lowerLetter"/>
      <w:lvlText w:val="%5."/>
      <w:lvlJc w:val="left"/>
      <w:pPr>
        <w:ind w:left="2324" w:hanging="360"/>
      </w:pPr>
    </w:lvl>
    <w:lvl w:ilvl="5" w:tplc="0415001B" w:tentative="1">
      <w:start w:val="1"/>
      <w:numFmt w:val="lowerRoman"/>
      <w:lvlText w:val="%6."/>
      <w:lvlJc w:val="right"/>
      <w:pPr>
        <w:ind w:left="3044" w:hanging="180"/>
      </w:pPr>
    </w:lvl>
    <w:lvl w:ilvl="6" w:tplc="0415000F" w:tentative="1">
      <w:start w:val="1"/>
      <w:numFmt w:val="decimal"/>
      <w:lvlText w:val="%7."/>
      <w:lvlJc w:val="left"/>
      <w:pPr>
        <w:ind w:left="3764" w:hanging="360"/>
      </w:pPr>
    </w:lvl>
    <w:lvl w:ilvl="7" w:tplc="04150019" w:tentative="1">
      <w:start w:val="1"/>
      <w:numFmt w:val="lowerLetter"/>
      <w:lvlText w:val="%8."/>
      <w:lvlJc w:val="left"/>
      <w:pPr>
        <w:ind w:left="4484" w:hanging="360"/>
      </w:pPr>
    </w:lvl>
    <w:lvl w:ilvl="8" w:tplc="0415001B" w:tentative="1">
      <w:start w:val="1"/>
      <w:numFmt w:val="lowerRoman"/>
      <w:lvlText w:val="%9."/>
      <w:lvlJc w:val="right"/>
      <w:pPr>
        <w:ind w:left="5204" w:hanging="180"/>
      </w:pPr>
    </w:lvl>
  </w:abstractNum>
  <w:abstractNum w:abstractNumId="16" w15:restartNumberingAfterBreak="0">
    <w:nsid w:val="40E83B0C"/>
    <w:multiLevelType w:val="hybridMultilevel"/>
    <w:tmpl w:val="2130722A"/>
    <w:lvl w:ilvl="0" w:tplc="2E44675C">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441779DB"/>
    <w:multiLevelType w:val="hybridMultilevel"/>
    <w:tmpl w:val="2536E5EC"/>
    <w:lvl w:ilvl="0" w:tplc="1DC436B0">
      <w:start w:val="1"/>
      <w:numFmt w:val="lowerLetter"/>
      <w:lvlText w:val="%1)"/>
      <w:lvlJc w:val="left"/>
      <w:pPr>
        <w:ind w:left="1353" w:hanging="360"/>
      </w:pPr>
      <w:rPr>
        <w:rFonts w:hint="default"/>
        <w:b w:val="0"/>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8" w15:restartNumberingAfterBreak="0">
    <w:nsid w:val="4D9468A6"/>
    <w:multiLevelType w:val="hybridMultilevel"/>
    <w:tmpl w:val="105CE352"/>
    <w:lvl w:ilvl="0" w:tplc="72F8FC04">
      <w:start w:val="1"/>
      <w:numFmt w:val="decimal"/>
      <w:lvlText w:val="%1."/>
      <w:lvlJc w:val="left"/>
      <w:pPr>
        <w:ind w:left="64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51706A02"/>
    <w:multiLevelType w:val="hybridMultilevel"/>
    <w:tmpl w:val="26A4BB44"/>
    <w:lvl w:ilvl="0" w:tplc="D6BEE44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F20223C"/>
    <w:multiLevelType w:val="hybridMultilevel"/>
    <w:tmpl w:val="1BD28D6E"/>
    <w:lvl w:ilvl="0" w:tplc="D1AAEE7C">
      <w:start w:val="8"/>
      <w:numFmt w:val="upperRoman"/>
      <w:lvlText w:val="%1."/>
      <w:lvlJc w:val="right"/>
      <w:pPr>
        <w:ind w:left="360" w:hanging="360"/>
      </w:pPr>
      <w:rPr>
        <w:rFonts w:hint="default"/>
      </w:rPr>
    </w:lvl>
    <w:lvl w:ilvl="1" w:tplc="04150019" w:tentative="1">
      <w:start w:val="1"/>
      <w:numFmt w:val="lowerLetter"/>
      <w:lvlText w:val="%2."/>
      <w:lvlJc w:val="left"/>
      <w:pPr>
        <w:ind w:left="447" w:hanging="360"/>
      </w:pPr>
    </w:lvl>
    <w:lvl w:ilvl="2" w:tplc="0415001B" w:tentative="1">
      <w:start w:val="1"/>
      <w:numFmt w:val="lowerRoman"/>
      <w:lvlText w:val="%3."/>
      <w:lvlJc w:val="right"/>
      <w:pPr>
        <w:ind w:left="1167" w:hanging="180"/>
      </w:pPr>
    </w:lvl>
    <w:lvl w:ilvl="3" w:tplc="0415000F" w:tentative="1">
      <w:start w:val="1"/>
      <w:numFmt w:val="decimal"/>
      <w:lvlText w:val="%4."/>
      <w:lvlJc w:val="left"/>
      <w:pPr>
        <w:ind w:left="1887" w:hanging="360"/>
      </w:pPr>
    </w:lvl>
    <w:lvl w:ilvl="4" w:tplc="04150019" w:tentative="1">
      <w:start w:val="1"/>
      <w:numFmt w:val="lowerLetter"/>
      <w:lvlText w:val="%5."/>
      <w:lvlJc w:val="left"/>
      <w:pPr>
        <w:ind w:left="2607" w:hanging="360"/>
      </w:pPr>
    </w:lvl>
    <w:lvl w:ilvl="5" w:tplc="0415001B" w:tentative="1">
      <w:start w:val="1"/>
      <w:numFmt w:val="lowerRoman"/>
      <w:lvlText w:val="%6."/>
      <w:lvlJc w:val="right"/>
      <w:pPr>
        <w:ind w:left="3327" w:hanging="180"/>
      </w:pPr>
    </w:lvl>
    <w:lvl w:ilvl="6" w:tplc="0415000F" w:tentative="1">
      <w:start w:val="1"/>
      <w:numFmt w:val="decimal"/>
      <w:lvlText w:val="%7."/>
      <w:lvlJc w:val="left"/>
      <w:pPr>
        <w:ind w:left="4047" w:hanging="360"/>
      </w:pPr>
    </w:lvl>
    <w:lvl w:ilvl="7" w:tplc="04150019" w:tentative="1">
      <w:start w:val="1"/>
      <w:numFmt w:val="lowerLetter"/>
      <w:lvlText w:val="%8."/>
      <w:lvlJc w:val="left"/>
      <w:pPr>
        <w:ind w:left="4767" w:hanging="360"/>
      </w:pPr>
    </w:lvl>
    <w:lvl w:ilvl="8" w:tplc="0415001B" w:tentative="1">
      <w:start w:val="1"/>
      <w:numFmt w:val="lowerRoman"/>
      <w:lvlText w:val="%9."/>
      <w:lvlJc w:val="right"/>
      <w:pPr>
        <w:ind w:left="5487" w:hanging="180"/>
      </w:pPr>
    </w:lvl>
  </w:abstractNum>
  <w:abstractNum w:abstractNumId="21" w15:restartNumberingAfterBreak="0">
    <w:nsid w:val="5F615DB6"/>
    <w:multiLevelType w:val="hybridMultilevel"/>
    <w:tmpl w:val="55BA57B0"/>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2" w15:restartNumberingAfterBreak="0">
    <w:nsid w:val="60056390"/>
    <w:multiLevelType w:val="hybridMultilevel"/>
    <w:tmpl w:val="58926BA4"/>
    <w:lvl w:ilvl="0" w:tplc="4D6EF7C0">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6AF1E10"/>
    <w:multiLevelType w:val="hybridMultilevel"/>
    <w:tmpl w:val="083E7FC6"/>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69426771"/>
    <w:multiLevelType w:val="hybridMultilevel"/>
    <w:tmpl w:val="2974D0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703E550F"/>
    <w:multiLevelType w:val="hybridMultilevel"/>
    <w:tmpl w:val="A18CF2F6"/>
    <w:lvl w:ilvl="0" w:tplc="70283E2C">
      <w:start w:val="1"/>
      <w:numFmt w:val="lowerLetter"/>
      <w:lvlText w:val="%1)"/>
      <w:lvlJc w:val="left"/>
      <w:pPr>
        <w:ind w:left="1211" w:hanging="360"/>
      </w:pPr>
      <w:rPr>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num w:numId="1">
    <w:abstractNumId w:val="8"/>
  </w:num>
  <w:num w:numId="2">
    <w:abstractNumId w:val="22"/>
  </w:num>
  <w:num w:numId="3">
    <w:abstractNumId w:val="4"/>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9"/>
  </w:num>
  <w:num w:numId="7">
    <w:abstractNumId w:val="16"/>
  </w:num>
  <w:num w:numId="8">
    <w:abstractNumId w:val="3"/>
  </w:num>
  <w:num w:numId="9">
    <w:abstractNumId w:val="5"/>
  </w:num>
  <w:num w:numId="10">
    <w:abstractNumId w:val="23"/>
  </w:num>
  <w:num w:numId="11">
    <w:abstractNumId w:val="10"/>
  </w:num>
  <w:num w:numId="12">
    <w:abstractNumId w:val="9"/>
  </w:num>
  <w:num w:numId="13">
    <w:abstractNumId w:val="12"/>
  </w:num>
  <w:num w:numId="14">
    <w:abstractNumId w:val="1"/>
  </w:num>
  <w:num w:numId="15">
    <w:abstractNumId w:val="6"/>
  </w:num>
  <w:num w:numId="16">
    <w:abstractNumId w:val="11"/>
  </w:num>
  <w:num w:numId="17">
    <w:abstractNumId w:val="17"/>
  </w:num>
  <w:num w:numId="18">
    <w:abstractNumId w:val="21"/>
  </w:num>
  <w:num w:numId="19">
    <w:abstractNumId w:val="0"/>
  </w:num>
  <w:num w:numId="20">
    <w:abstractNumId w:val="20"/>
  </w:num>
  <w:num w:numId="21">
    <w:abstractNumId w:val="18"/>
  </w:num>
  <w:num w:numId="22">
    <w:abstractNumId w:val="13"/>
  </w:num>
  <w:num w:numId="23">
    <w:abstractNumId w:val="25"/>
  </w:num>
  <w:num w:numId="24">
    <w:abstractNumId w:val="2"/>
  </w:num>
  <w:num w:numId="25">
    <w:abstractNumId w:val="15"/>
  </w:num>
  <w:num w:numId="26">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F3476"/>
    <w:rsid w:val="00004BAA"/>
    <w:rsid w:val="00013256"/>
    <w:rsid w:val="00023B04"/>
    <w:rsid w:val="00024080"/>
    <w:rsid w:val="000248A4"/>
    <w:rsid w:val="000311A0"/>
    <w:rsid w:val="000339A0"/>
    <w:rsid w:val="000348CD"/>
    <w:rsid w:val="00055219"/>
    <w:rsid w:val="00057A08"/>
    <w:rsid w:val="000710BD"/>
    <w:rsid w:val="00097D21"/>
    <w:rsid w:val="000A64F0"/>
    <w:rsid w:val="000B2707"/>
    <w:rsid w:val="000B60CD"/>
    <w:rsid w:val="000C1D62"/>
    <w:rsid w:val="000C3F38"/>
    <w:rsid w:val="000D530C"/>
    <w:rsid w:val="000D755C"/>
    <w:rsid w:val="000E11F1"/>
    <w:rsid w:val="000F0392"/>
    <w:rsid w:val="00112915"/>
    <w:rsid w:val="00117C19"/>
    <w:rsid w:val="0012340D"/>
    <w:rsid w:val="00130E21"/>
    <w:rsid w:val="00143B24"/>
    <w:rsid w:val="001458FD"/>
    <w:rsid w:val="001465A3"/>
    <w:rsid w:val="00177BFD"/>
    <w:rsid w:val="00187E02"/>
    <w:rsid w:val="00192DD1"/>
    <w:rsid w:val="00195DA4"/>
    <w:rsid w:val="001B152A"/>
    <w:rsid w:val="001B440A"/>
    <w:rsid w:val="001C54BD"/>
    <w:rsid w:val="001D353E"/>
    <w:rsid w:val="001E0E56"/>
    <w:rsid w:val="001F0850"/>
    <w:rsid w:val="001F499D"/>
    <w:rsid w:val="00216CDB"/>
    <w:rsid w:val="00220E6E"/>
    <w:rsid w:val="00226AF4"/>
    <w:rsid w:val="002341C7"/>
    <w:rsid w:val="00242BE0"/>
    <w:rsid w:val="00243BEF"/>
    <w:rsid w:val="0025429A"/>
    <w:rsid w:val="00257186"/>
    <w:rsid w:val="002612FF"/>
    <w:rsid w:val="00270B6A"/>
    <w:rsid w:val="002737AE"/>
    <w:rsid w:val="00280176"/>
    <w:rsid w:val="00281BE7"/>
    <w:rsid w:val="00286687"/>
    <w:rsid w:val="00286819"/>
    <w:rsid w:val="002B6A7C"/>
    <w:rsid w:val="002C097C"/>
    <w:rsid w:val="002C1D6A"/>
    <w:rsid w:val="002D1C48"/>
    <w:rsid w:val="002E0530"/>
    <w:rsid w:val="002E11D2"/>
    <w:rsid w:val="00303756"/>
    <w:rsid w:val="003077F0"/>
    <w:rsid w:val="0031356C"/>
    <w:rsid w:val="003408A3"/>
    <w:rsid w:val="003417F0"/>
    <w:rsid w:val="00346CB0"/>
    <w:rsid w:val="003562D8"/>
    <w:rsid w:val="00357EB2"/>
    <w:rsid w:val="00375439"/>
    <w:rsid w:val="0038795D"/>
    <w:rsid w:val="003A1841"/>
    <w:rsid w:val="003C1B34"/>
    <w:rsid w:val="003C320E"/>
    <w:rsid w:val="003C5575"/>
    <w:rsid w:val="003D2106"/>
    <w:rsid w:val="003E30B6"/>
    <w:rsid w:val="003E4B31"/>
    <w:rsid w:val="003E578E"/>
    <w:rsid w:val="003F6C98"/>
    <w:rsid w:val="00417A9B"/>
    <w:rsid w:val="00424FB7"/>
    <w:rsid w:val="00432444"/>
    <w:rsid w:val="004609EA"/>
    <w:rsid w:val="0048111A"/>
    <w:rsid w:val="00486BD1"/>
    <w:rsid w:val="00487DB3"/>
    <w:rsid w:val="00487E6B"/>
    <w:rsid w:val="004C6971"/>
    <w:rsid w:val="004D669A"/>
    <w:rsid w:val="004D6CDD"/>
    <w:rsid w:val="004E6364"/>
    <w:rsid w:val="004F4478"/>
    <w:rsid w:val="0050030A"/>
    <w:rsid w:val="00511011"/>
    <w:rsid w:val="00525655"/>
    <w:rsid w:val="00527E4F"/>
    <w:rsid w:val="00532FE4"/>
    <w:rsid w:val="0055197A"/>
    <w:rsid w:val="00551C05"/>
    <w:rsid w:val="00560B36"/>
    <w:rsid w:val="0056504A"/>
    <w:rsid w:val="005719A4"/>
    <w:rsid w:val="005762B7"/>
    <w:rsid w:val="00594AE4"/>
    <w:rsid w:val="005A41DA"/>
    <w:rsid w:val="005A5EEC"/>
    <w:rsid w:val="005B5A6E"/>
    <w:rsid w:val="005C057F"/>
    <w:rsid w:val="005C3022"/>
    <w:rsid w:val="005C5CFF"/>
    <w:rsid w:val="005D1585"/>
    <w:rsid w:val="005E7890"/>
    <w:rsid w:val="005E79B9"/>
    <w:rsid w:val="005F3EAE"/>
    <w:rsid w:val="005F4AA7"/>
    <w:rsid w:val="005F7B39"/>
    <w:rsid w:val="005F7DC2"/>
    <w:rsid w:val="00614CDD"/>
    <w:rsid w:val="00622CCB"/>
    <w:rsid w:val="00623E3E"/>
    <w:rsid w:val="006265B3"/>
    <w:rsid w:val="00634424"/>
    <w:rsid w:val="006344E6"/>
    <w:rsid w:val="00634BB7"/>
    <w:rsid w:val="00636B37"/>
    <w:rsid w:val="00643AB7"/>
    <w:rsid w:val="00644CFD"/>
    <w:rsid w:val="00671C14"/>
    <w:rsid w:val="00672E84"/>
    <w:rsid w:val="00674F4F"/>
    <w:rsid w:val="00675EC4"/>
    <w:rsid w:val="006839E1"/>
    <w:rsid w:val="006856FE"/>
    <w:rsid w:val="00685F1A"/>
    <w:rsid w:val="0069098E"/>
    <w:rsid w:val="00693CC4"/>
    <w:rsid w:val="006A640C"/>
    <w:rsid w:val="006B26B1"/>
    <w:rsid w:val="006C69EF"/>
    <w:rsid w:val="006D1BB3"/>
    <w:rsid w:val="006E0A14"/>
    <w:rsid w:val="006E3D31"/>
    <w:rsid w:val="006E6C0F"/>
    <w:rsid w:val="006F5931"/>
    <w:rsid w:val="006F5AB8"/>
    <w:rsid w:val="007133F1"/>
    <w:rsid w:val="007153D4"/>
    <w:rsid w:val="00722AEC"/>
    <w:rsid w:val="00730601"/>
    <w:rsid w:val="007418CD"/>
    <w:rsid w:val="00744A05"/>
    <w:rsid w:val="0075044C"/>
    <w:rsid w:val="007678C3"/>
    <w:rsid w:val="00793B17"/>
    <w:rsid w:val="00795C04"/>
    <w:rsid w:val="007A3B55"/>
    <w:rsid w:val="007A7267"/>
    <w:rsid w:val="007B44BB"/>
    <w:rsid w:val="007F3476"/>
    <w:rsid w:val="007F762C"/>
    <w:rsid w:val="00817FA8"/>
    <w:rsid w:val="00835117"/>
    <w:rsid w:val="00851171"/>
    <w:rsid w:val="00854DE4"/>
    <w:rsid w:val="00874836"/>
    <w:rsid w:val="0087543C"/>
    <w:rsid w:val="00875729"/>
    <w:rsid w:val="00887B91"/>
    <w:rsid w:val="00890ECA"/>
    <w:rsid w:val="00894447"/>
    <w:rsid w:val="00895AA8"/>
    <w:rsid w:val="00897B41"/>
    <w:rsid w:val="008C3E59"/>
    <w:rsid w:val="008D40C3"/>
    <w:rsid w:val="008D6546"/>
    <w:rsid w:val="008D7DD7"/>
    <w:rsid w:val="008F1716"/>
    <w:rsid w:val="008F6C50"/>
    <w:rsid w:val="009020DE"/>
    <w:rsid w:val="00905033"/>
    <w:rsid w:val="00920443"/>
    <w:rsid w:val="009321EF"/>
    <w:rsid w:val="00942C2C"/>
    <w:rsid w:val="009443B8"/>
    <w:rsid w:val="00951184"/>
    <w:rsid w:val="0096179F"/>
    <w:rsid w:val="009674CB"/>
    <w:rsid w:val="00972035"/>
    <w:rsid w:val="0098172F"/>
    <w:rsid w:val="0098437E"/>
    <w:rsid w:val="0098739F"/>
    <w:rsid w:val="00987B33"/>
    <w:rsid w:val="009A1193"/>
    <w:rsid w:val="009B2B9B"/>
    <w:rsid w:val="009B44EA"/>
    <w:rsid w:val="009B7A27"/>
    <w:rsid w:val="009D5EA3"/>
    <w:rsid w:val="009F1B63"/>
    <w:rsid w:val="00A11AF5"/>
    <w:rsid w:val="00A1317B"/>
    <w:rsid w:val="00A17609"/>
    <w:rsid w:val="00A21B2D"/>
    <w:rsid w:val="00A238D1"/>
    <w:rsid w:val="00A24218"/>
    <w:rsid w:val="00A34E7D"/>
    <w:rsid w:val="00A35358"/>
    <w:rsid w:val="00A36646"/>
    <w:rsid w:val="00A36964"/>
    <w:rsid w:val="00A40AF0"/>
    <w:rsid w:val="00A51C14"/>
    <w:rsid w:val="00A52321"/>
    <w:rsid w:val="00A542FC"/>
    <w:rsid w:val="00A543DB"/>
    <w:rsid w:val="00A75226"/>
    <w:rsid w:val="00A8106B"/>
    <w:rsid w:val="00A9138E"/>
    <w:rsid w:val="00A93F50"/>
    <w:rsid w:val="00AA1717"/>
    <w:rsid w:val="00AB34F1"/>
    <w:rsid w:val="00AB48B4"/>
    <w:rsid w:val="00AC0B58"/>
    <w:rsid w:val="00AC711C"/>
    <w:rsid w:val="00AD2E51"/>
    <w:rsid w:val="00AD742B"/>
    <w:rsid w:val="00AE1252"/>
    <w:rsid w:val="00AE2F50"/>
    <w:rsid w:val="00AE6BD8"/>
    <w:rsid w:val="00AE7DAF"/>
    <w:rsid w:val="00AF0300"/>
    <w:rsid w:val="00AF05F9"/>
    <w:rsid w:val="00AF39A9"/>
    <w:rsid w:val="00B036B0"/>
    <w:rsid w:val="00B135ED"/>
    <w:rsid w:val="00B24BA7"/>
    <w:rsid w:val="00B26B77"/>
    <w:rsid w:val="00B31963"/>
    <w:rsid w:val="00B45306"/>
    <w:rsid w:val="00B77E7B"/>
    <w:rsid w:val="00B904C3"/>
    <w:rsid w:val="00B90701"/>
    <w:rsid w:val="00B966A6"/>
    <w:rsid w:val="00BA3860"/>
    <w:rsid w:val="00BB28F7"/>
    <w:rsid w:val="00BB66EA"/>
    <w:rsid w:val="00BB6F08"/>
    <w:rsid w:val="00BD44E2"/>
    <w:rsid w:val="00BD677F"/>
    <w:rsid w:val="00C023FA"/>
    <w:rsid w:val="00C02D1A"/>
    <w:rsid w:val="00C040E3"/>
    <w:rsid w:val="00C10DBC"/>
    <w:rsid w:val="00C36827"/>
    <w:rsid w:val="00C47D98"/>
    <w:rsid w:val="00C55797"/>
    <w:rsid w:val="00C94198"/>
    <w:rsid w:val="00C94EEB"/>
    <w:rsid w:val="00CB0854"/>
    <w:rsid w:val="00CC1E53"/>
    <w:rsid w:val="00CD524D"/>
    <w:rsid w:val="00CE36D6"/>
    <w:rsid w:val="00D00D62"/>
    <w:rsid w:val="00D06864"/>
    <w:rsid w:val="00D30604"/>
    <w:rsid w:val="00D36C7E"/>
    <w:rsid w:val="00D40518"/>
    <w:rsid w:val="00D40685"/>
    <w:rsid w:val="00D41189"/>
    <w:rsid w:val="00D50DF3"/>
    <w:rsid w:val="00D54BF0"/>
    <w:rsid w:val="00D55B08"/>
    <w:rsid w:val="00D60295"/>
    <w:rsid w:val="00D6349E"/>
    <w:rsid w:val="00D6531C"/>
    <w:rsid w:val="00D74946"/>
    <w:rsid w:val="00D82267"/>
    <w:rsid w:val="00D904DE"/>
    <w:rsid w:val="00D94AF1"/>
    <w:rsid w:val="00D95379"/>
    <w:rsid w:val="00D954C3"/>
    <w:rsid w:val="00D97F00"/>
    <w:rsid w:val="00DB1308"/>
    <w:rsid w:val="00DC3B99"/>
    <w:rsid w:val="00DC6523"/>
    <w:rsid w:val="00DE57E0"/>
    <w:rsid w:val="00DF4B46"/>
    <w:rsid w:val="00E132AD"/>
    <w:rsid w:val="00E20A87"/>
    <w:rsid w:val="00E32484"/>
    <w:rsid w:val="00E572A7"/>
    <w:rsid w:val="00E70C0A"/>
    <w:rsid w:val="00E77063"/>
    <w:rsid w:val="00E9225B"/>
    <w:rsid w:val="00EB2075"/>
    <w:rsid w:val="00EB696A"/>
    <w:rsid w:val="00EC07BB"/>
    <w:rsid w:val="00EC3622"/>
    <w:rsid w:val="00ED33BE"/>
    <w:rsid w:val="00EE07F6"/>
    <w:rsid w:val="00EE2193"/>
    <w:rsid w:val="00EE7D30"/>
    <w:rsid w:val="00EF5F4D"/>
    <w:rsid w:val="00F122C6"/>
    <w:rsid w:val="00F17A5A"/>
    <w:rsid w:val="00F17E4D"/>
    <w:rsid w:val="00F25628"/>
    <w:rsid w:val="00F348B2"/>
    <w:rsid w:val="00F501FA"/>
    <w:rsid w:val="00F57684"/>
    <w:rsid w:val="00F60DBF"/>
    <w:rsid w:val="00F637F6"/>
    <w:rsid w:val="00F67D54"/>
    <w:rsid w:val="00F83828"/>
    <w:rsid w:val="00F84B8F"/>
    <w:rsid w:val="00F854F4"/>
    <w:rsid w:val="00F92B94"/>
    <w:rsid w:val="00F94AEA"/>
    <w:rsid w:val="00FB10B5"/>
    <w:rsid w:val="00FB1546"/>
    <w:rsid w:val="00FB1880"/>
    <w:rsid w:val="00FB2DCE"/>
    <w:rsid w:val="00FB7094"/>
    <w:rsid w:val="00FC01ED"/>
    <w:rsid w:val="00FD1A3D"/>
    <w:rsid w:val="00FD2C5B"/>
    <w:rsid w:val="00FF1CAB"/>
    <w:rsid w:val="00FF2173"/>
    <w:rsid w:val="00FF2F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A17D2"/>
  <w15:docId w15:val="{CE538EBF-1BE5-4DC9-B93B-39097ACF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F347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aliases w:val="nowy"/>
    <w:basedOn w:val="Standardowy"/>
    <w:uiPriority w:val="39"/>
    <w:rsid w:val="007F347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_wyliczenie,K-P_odwolanie,Akapit z listą5,maz_wyliczenie,opis dzialania,EPL lista punktowana z wyrózneniem,1st level - Bullet List Paragraph,Lettre d'introduction,Normal bullet 2,Bullet list,Listenabsatz"/>
    <w:basedOn w:val="Normalny"/>
    <w:link w:val="AkapitzlistZnak"/>
    <w:uiPriority w:val="34"/>
    <w:qFormat/>
    <w:rsid w:val="007F3476"/>
    <w:pPr>
      <w:ind w:left="720"/>
      <w:contextualSpacing/>
    </w:pPr>
  </w:style>
  <w:style w:type="character" w:styleId="Odwoaniedokomentarza">
    <w:name w:val="annotation reference"/>
    <w:basedOn w:val="Domylnaczcionkaakapitu"/>
    <w:uiPriority w:val="99"/>
    <w:semiHidden/>
    <w:unhideWhenUsed/>
    <w:rsid w:val="00CE36D6"/>
    <w:rPr>
      <w:sz w:val="16"/>
      <w:szCs w:val="16"/>
    </w:rPr>
  </w:style>
  <w:style w:type="paragraph" w:styleId="Tekstkomentarza">
    <w:name w:val="annotation text"/>
    <w:basedOn w:val="Normalny"/>
    <w:link w:val="TekstkomentarzaZnak"/>
    <w:uiPriority w:val="99"/>
    <w:semiHidden/>
    <w:unhideWhenUsed/>
    <w:rsid w:val="00CE36D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E36D6"/>
    <w:rPr>
      <w:sz w:val="20"/>
      <w:szCs w:val="20"/>
    </w:rPr>
  </w:style>
  <w:style w:type="paragraph" w:styleId="Tematkomentarza">
    <w:name w:val="annotation subject"/>
    <w:basedOn w:val="Tekstkomentarza"/>
    <w:next w:val="Tekstkomentarza"/>
    <w:link w:val="TematkomentarzaZnak"/>
    <w:uiPriority w:val="99"/>
    <w:semiHidden/>
    <w:unhideWhenUsed/>
    <w:rsid w:val="00CE36D6"/>
    <w:rPr>
      <w:b/>
      <w:bCs/>
    </w:rPr>
  </w:style>
  <w:style w:type="character" w:customStyle="1" w:styleId="TematkomentarzaZnak">
    <w:name w:val="Temat komentarza Znak"/>
    <w:basedOn w:val="TekstkomentarzaZnak"/>
    <w:link w:val="Tematkomentarza"/>
    <w:uiPriority w:val="99"/>
    <w:semiHidden/>
    <w:rsid w:val="00CE36D6"/>
    <w:rPr>
      <w:b/>
      <w:bCs/>
      <w:sz w:val="20"/>
      <w:szCs w:val="20"/>
    </w:rPr>
  </w:style>
  <w:style w:type="paragraph" w:styleId="Tekstdymka">
    <w:name w:val="Balloon Text"/>
    <w:basedOn w:val="Normalny"/>
    <w:link w:val="TekstdymkaZnak"/>
    <w:uiPriority w:val="99"/>
    <w:semiHidden/>
    <w:unhideWhenUsed/>
    <w:rsid w:val="00CE36D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E36D6"/>
    <w:rPr>
      <w:rFonts w:ascii="Tahoma" w:hAnsi="Tahoma" w:cs="Tahoma"/>
      <w:sz w:val="16"/>
      <w:szCs w:val="16"/>
    </w:rPr>
  </w:style>
  <w:style w:type="paragraph" w:styleId="Tekstprzypisudolnego">
    <w:name w:val="footnote text"/>
    <w:aliases w:val="Znak1,single space,FOOTNOTES,fn,Podrozdział,Fußnote,Footnote,Podrozdzia3,przypis,Tekst przypisu,Tekst przypisu Znak Znak Znak Znak,Tekst przypisu Znak Znak Znak Znak Znak,Tekst przypisu Znak Znak Znak Znak Znak Znak Znak,f,ft"/>
    <w:basedOn w:val="Normalny"/>
    <w:link w:val="TekstprzypisudolnegoZnak"/>
    <w:uiPriority w:val="99"/>
    <w:unhideWhenUsed/>
    <w:qFormat/>
    <w:rsid w:val="00BA3860"/>
    <w:pPr>
      <w:spacing w:after="0" w:line="240" w:lineRule="auto"/>
    </w:pPr>
    <w:rPr>
      <w:sz w:val="20"/>
      <w:szCs w:val="20"/>
    </w:rPr>
  </w:style>
  <w:style w:type="character" w:customStyle="1" w:styleId="TekstprzypisudolnegoZnak">
    <w:name w:val="Tekst przypisu dolnego Znak"/>
    <w:aliases w:val="Znak1 Znak,single space Znak,FOOTNOTES Znak,fn Znak,Podrozdział Znak,Fußnote Znak,Footnote Znak,Podrozdzia3 Znak,przypis Znak,Tekst przypisu Znak,Tekst przypisu Znak Znak Znak Znak Znak1,f Znak,ft Znak"/>
    <w:basedOn w:val="Domylnaczcionkaakapitu"/>
    <w:link w:val="Tekstprzypisudolnego"/>
    <w:uiPriority w:val="99"/>
    <w:rsid w:val="00BA3860"/>
    <w:rPr>
      <w:sz w:val="20"/>
      <w:szCs w:val="20"/>
    </w:rPr>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basedOn w:val="Domylnaczcionkaakapitu"/>
    <w:uiPriority w:val="99"/>
    <w:unhideWhenUsed/>
    <w:qFormat/>
    <w:rsid w:val="00BA3860"/>
    <w:rPr>
      <w:vertAlign w:val="superscript"/>
    </w:rPr>
  </w:style>
  <w:style w:type="paragraph" w:styleId="Poprawka">
    <w:name w:val="Revision"/>
    <w:hidden/>
    <w:uiPriority w:val="99"/>
    <w:semiHidden/>
    <w:rsid w:val="006D1BB3"/>
    <w:pPr>
      <w:spacing w:after="0" w:line="240" w:lineRule="auto"/>
    </w:pPr>
  </w:style>
  <w:style w:type="character" w:styleId="Hipercze">
    <w:name w:val="Hyperlink"/>
    <w:basedOn w:val="Domylnaczcionkaakapitu"/>
    <w:uiPriority w:val="99"/>
    <w:unhideWhenUsed/>
    <w:rsid w:val="008D7DD7"/>
    <w:rPr>
      <w:color w:val="0000FF" w:themeColor="hyperlink"/>
      <w:u w:val="single"/>
    </w:rPr>
  </w:style>
  <w:style w:type="paragraph" w:customStyle="1" w:styleId="Default">
    <w:name w:val="Default"/>
    <w:rsid w:val="008D7DD7"/>
    <w:pPr>
      <w:autoSpaceDE w:val="0"/>
      <w:autoSpaceDN w:val="0"/>
      <w:adjustRightInd w:val="0"/>
      <w:spacing w:after="0" w:line="240" w:lineRule="auto"/>
    </w:pPr>
    <w:rPr>
      <w:rFonts w:ascii="Times New Roman" w:hAnsi="Times New Roman" w:cs="Times New Roman"/>
      <w:color w:val="000000"/>
      <w:sz w:val="24"/>
      <w:szCs w:val="24"/>
    </w:rPr>
  </w:style>
  <w:style w:type="character" w:styleId="UyteHipercze">
    <w:name w:val="FollowedHyperlink"/>
    <w:basedOn w:val="Domylnaczcionkaakapitu"/>
    <w:uiPriority w:val="99"/>
    <w:semiHidden/>
    <w:unhideWhenUsed/>
    <w:rsid w:val="00E572A7"/>
    <w:rPr>
      <w:color w:val="800080" w:themeColor="followedHyperlink"/>
      <w:u w:val="single"/>
    </w:rPr>
  </w:style>
  <w:style w:type="paragraph" w:styleId="Nagwek">
    <w:name w:val="header"/>
    <w:basedOn w:val="Normalny"/>
    <w:link w:val="NagwekZnak"/>
    <w:uiPriority w:val="99"/>
    <w:unhideWhenUsed/>
    <w:rsid w:val="003E4B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4B31"/>
  </w:style>
  <w:style w:type="paragraph" w:styleId="Stopka">
    <w:name w:val="footer"/>
    <w:basedOn w:val="Normalny"/>
    <w:link w:val="StopkaZnak"/>
    <w:uiPriority w:val="99"/>
    <w:unhideWhenUsed/>
    <w:rsid w:val="003E4B3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4B31"/>
  </w:style>
  <w:style w:type="character" w:customStyle="1" w:styleId="AkapitzlistZnak">
    <w:name w:val="Akapit z listą Znak"/>
    <w:aliases w:val="Numerowanie Znak,List Paragraph Znak,A_wyliczenie Znak,K-P_odwolanie Znak,Akapit z listą5 Znak,maz_wyliczenie Znak,opis dzialania Znak,EPL lista punktowana z wyrózneniem Znak,1st level - Bullet List Paragraph Znak,Bullet list Znak"/>
    <w:link w:val="Akapitzlist"/>
    <w:uiPriority w:val="34"/>
    <w:qFormat/>
    <w:locked/>
    <w:rsid w:val="00112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140998">
      <w:bodyDiv w:val="1"/>
      <w:marLeft w:val="0"/>
      <w:marRight w:val="0"/>
      <w:marTop w:val="0"/>
      <w:marBottom w:val="0"/>
      <w:divBdr>
        <w:top w:val="none" w:sz="0" w:space="0" w:color="auto"/>
        <w:left w:val="none" w:sz="0" w:space="0" w:color="auto"/>
        <w:bottom w:val="none" w:sz="0" w:space="0" w:color="auto"/>
        <w:right w:val="none" w:sz="0" w:space="0" w:color="auto"/>
      </w:divBdr>
    </w:div>
    <w:div w:id="1378166685">
      <w:bodyDiv w:val="1"/>
      <w:marLeft w:val="0"/>
      <w:marRight w:val="0"/>
      <w:marTop w:val="0"/>
      <w:marBottom w:val="0"/>
      <w:divBdr>
        <w:top w:val="none" w:sz="0" w:space="0" w:color="auto"/>
        <w:left w:val="none" w:sz="0" w:space="0" w:color="auto"/>
        <w:bottom w:val="none" w:sz="0" w:space="0" w:color="auto"/>
        <w:right w:val="none" w:sz="0" w:space="0" w:color="auto"/>
      </w:divBdr>
    </w:div>
    <w:div w:id="140228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1C51F-04B1-47ED-B0E2-1B143FB0E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Pages>
  <Words>3093</Words>
  <Characters>18559</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Bank Gospodarstwa Krajowego</Company>
  <LinksUpToDate>false</LinksUpToDate>
  <CharactersWithSpaces>21609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Baczewski, Jacek</dc:creator>
  <cp:lastModifiedBy>NIDA</cp:lastModifiedBy>
  <cp:revision>26</cp:revision>
  <cp:lastPrinted>2025-08-29T06:11:00Z</cp:lastPrinted>
  <dcterms:created xsi:type="dcterms:W3CDTF">2023-10-16T12:55:00Z</dcterms:created>
  <dcterms:modified xsi:type="dcterms:W3CDTF">2025-08-29T07:28:00Z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Krzysztof.Lesniak@bgk.pl</vt:lpwstr>
  </property>
  <property fmtid="{D5CDD505-2E9C-101B-9397-08002B2CF9AE}" pid="5" name="MSIP_Label_ffd642cb-f5ac-4f9c-8f91-3377ed972e0d_SetDate">
    <vt:lpwstr>2019-04-29T14:16:59.9516635Z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c668bcff-e2d1-47e2-adc1-b3354af02961_Enabled">
    <vt:lpwstr>true</vt:lpwstr>
  </property>
  <property fmtid="{D5CDD505-2E9C-101B-9397-08002B2CF9AE}" pid="10" name="MSIP_Label_c668bcff-e2d1-47e2-adc1-b3354af02961_SetDate">
    <vt:lpwstr>2021-12-02T07:01:30Z</vt:lpwstr>
  </property>
  <property fmtid="{D5CDD505-2E9C-101B-9397-08002B2CF9AE}" pid="11" name="MSIP_Label_c668bcff-e2d1-47e2-adc1-b3354af02961_Method">
    <vt:lpwstr>Privileged</vt:lpwstr>
  </property>
  <property fmtid="{D5CDD505-2E9C-101B-9397-08002B2CF9AE}" pid="12" name="MSIP_Label_c668bcff-e2d1-47e2-adc1-b3354af02961_Name">
    <vt:lpwstr>c668bcff-e2d1-47e2-adc1-b3354af02961</vt:lpwstr>
  </property>
  <property fmtid="{D5CDD505-2E9C-101B-9397-08002B2CF9AE}" pid="13" name="MSIP_Label_c668bcff-e2d1-47e2-adc1-b3354af02961_SiteId">
    <vt:lpwstr>29bb5b9c-200a-4906-89ef-c651c86ab301</vt:lpwstr>
  </property>
  <property fmtid="{D5CDD505-2E9C-101B-9397-08002B2CF9AE}" pid="14" name="MSIP_Label_c668bcff-e2d1-47e2-adc1-b3354af02961_ContentBits">
    <vt:lpwstr>0</vt:lpwstr>
  </property>
</Properties>
</file>