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ED376" w14:textId="141BAC0E" w:rsidR="0095547B" w:rsidRPr="00EF6F38" w:rsidRDefault="0095547B" w:rsidP="00863AC6">
      <w:pPr>
        <w:pStyle w:val="Akapitzlist"/>
        <w:spacing w:after="0"/>
        <w:jc w:val="right"/>
        <w:rPr>
          <w:rFonts w:asciiTheme="minorHAnsi" w:hAnsiTheme="minorHAnsi" w:cs="Arial"/>
          <w:i/>
          <w:color w:val="000000" w:themeColor="text1"/>
        </w:rPr>
      </w:pPr>
      <w:r w:rsidRPr="00EF6F38">
        <w:rPr>
          <w:rFonts w:asciiTheme="minorHAnsi" w:hAnsiTheme="minorHAnsi" w:cs="Arial"/>
          <w:i/>
        </w:rPr>
        <w:t xml:space="preserve">Załącznik nr </w:t>
      </w:r>
      <w:r w:rsidR="00863AC6">
        <w:rPr>
          <w:rFonts w:asciiTheme="minorHAnsi" w:hAnsiTheme="minorHAnsi" w:cs="Arial"/>
          <w:i/>
        </w:rPr>
        <w:t xml:space="preserve">1 do Regulaminu udzielania pożyczek </w:t>
      </w:r>
      <w:r w:rsidR="00863AC6">
        <w:rPr>
          <w:rFonts w:asciiTheme="minorHAnsi" w:hAnsiTheme="minorHAnsi" w:cs="Arial"/>
          <w:i/>
        </w:rPr>
        <w:br/>
      </w:r>
      <w:r w:rsidRPr="00EF6F38">
        <w:rPr>
          <w:rFonts w:asciiTheme="minorHAnsi" w:hAnsiTheme="minorHAnsi" w:cs="Arial"/>
          <w:bCs/>
          <w:i/>
        </w:rPr>
        <w:t xml:space="preserve">– Instrument Finansowy – </w:t>
      </w:r>
      <w:r w:rsidRPr="00EF6F38">
        <w:rPr>
          <w:rFonts w:asciiTheme="minorHAnsi" w:hAnsiTheme="minorHAnsi" w:cs="Arial"/>
          <w:i/>
          <w:color w:val="000000" w:themeColor="text1"/>
        </w:rPr>
        <w:t>Pożyczka na inwestycje rozwojowe</w:t>
      </w:r>
      <w:r w:rsidR="00E01946">
        <w:rPr>
          <w:rFonts w:asciiTheme="minorHAnsi" w:hAnsiTheme="minorHAnsi" w:cs="Arial"/>
          <w:i/>
          <w:color w:val="000000" w:themeColor="text1"/>
        </w:rPr>
        <w:t xml:space="preserve"> z </w:t>
      </w:r>
      <w:r w:rsidR="00330F3D">
        <w:rPr>
          <w:rFonts w:asciiTheme="minorHAnsi" w:hAnsiTheme="minorHAnsi" w:cs="Arial"/>
          <w:i/>
          <w:color w:val="000000" w:themeColor="text1"/>
        </w:rPr>
        <w:t>D</w:t>
      </w:r>
      <w:r w:rsidR="00E01946">
        <w:rPr>
          <w:rFonts w:asciiTheme="minorHAnsi" w:hAnsiTheme="minorHAnsi" w:cs="Arial"/>
          <w:i/>
          <w:color w:val="000000" w:themeColor="text1"/>
        </w:rPr>
        <w:t>otacją</w:t>
      </w:r>
    </w:p>
    <w:p w14:paraId="70F0E8ED" w14:textId="77777777" w:rsidR="0004528D" w:rsidRPr="00EF6F38" w:rsidRDefault="0004528D" w:rsidP="007B7928">
      <w:pPr>
        <w:pStyle w:val="Akapitzlist"/>
        <w:spacing w:after="120" w:line="23" w:lineRule="atLeast"/>
        <w:jc w:val="right"/>
        <w:rPr>
          <w:rFonts w:asciiTheme="minorHAnsi" w:hAnsiTheme="minorHAnsi" w:cstheme="minorHAnsi"/>
          <w:b/>
        </w:rPr>
      </w:pPr>
    </w:p>
    <w:p w14:paraId="6524C7A7" w14:textId="77777777" w:rsidR="007B7928" w:rsidRPr="00EF6F38" w:rsidRDefault="007B7928" w:rsidP="007B7928">
      <w:pPr>
        <w:pStyle w:val="Akapitzlist"/>
        <w:spacing w:after="120" w:line="23" w:lineRule="atLeast"/>
        <w:jc w:val="right"/>
        <w:rPr>
          <w:rFonts w:asciiTheme="minorHAnsi" w:hAnsiTheme="minorHAnsi" w:cstheme="minorHAnsi"/>
          <w:b/>
        </w:rPr>
      </w:pPr>
    </w:p>
    <w:p w14:paraId="092C747C" w14:textId="3AD753F6" w:rsidR="00B26A2D" w:rsidRPr="00EF6F38" w:rsidRDefault="00BB09DA" w:rsidP="00B26A2D">
      <w:pPr>
        <w:pStyle w:val="Tytu"/>
        <w:jc w:val="center"/>
        <w:rPr>
          <w:rFonts w:asciiTheme="minorHAnsi" w:hAnsiTheme="minorHAnsi" w:cstheme="minorHAnsi"/>
          <w:b/>
          <w:spacing w:val="0"/>
          <w:kern w:val="0"/>
          <w:sz w:val="24"/>
          <w:szCs w:val="24"/>
        </w:rPr>
      </w:pPr>
      <w:bookmarkStart w:id="0" w:name="_Hlk165303713"/>
      <w:r w:rsidRPr="00EF6F38">
        <w:rPr>
          <w:rFonts w:asciiTheme="minorHAnsi" w:hAnsiTheme="minorHAnsi" w:cstheme="minorHAnsi"/>
          <w:b/>
          <w:spacing w:val="0"/>
          <w:kern w:val="0"/>
          <w:sz w:val="24"/>
          <w:szCs w:val="24"/>
        </w:rPr>
        <w:t>Karta Produktu</w:t>
      </w:r>
      <w:r w:rsidR="004F067B" w:rsidRPr="00EF6F38">
        <w:rPr>
          <w:rFonts w:asciiTheme="minorHAnsi" w:hAnsiTheme="minorHAnsi" w:cstheme="minorHAnsi"/>
          <w:b/>
          <w:spacing w:val="0"/>
          <w:kern w:val="0"/>
          <w:sz w:val="24"/>
          <w:szCs w:val="24"/>
        </w:rPr>
        <w:t xml:space="preserve"> </w:t>
      </w:r>
      <w:bookmarkEnd w:id="0"/>
    </w:p>
    <w:p w14:paraId="23F608FC" w14:textId="14BBFAAA" w:rsidR="005F3EAE" w:rsidRPr="00EF6F38" w:rsidRDefault="007D7BFA" w:rsidP="00B26A2D">
      <w:pPr>
        <w:pStyle w:val="Tytu"/>
        <w:jc w:val="center"/>
        <w:rPr>
          <w:rFonts w:asciiTheme="minorHAnsi" w:hAnsiTheme="minorHAnsi" w:cstheme="minorHAnsi"/>
          <w:b/>
          <w:spacing w:val="0"/>
          <w:kern w:val="0"/>
          <w:sz w:val="24"/>
          <w:szCs w:val="24"/>
        </w:rPr>
      </w:pPr>
      <w:r w:rsidRPr="00EF6F38">
        <w:rPr>
          <w:rFonts w:asciiTheme="minorHAnsi" w:hAnsiTheme="minorHAnsi" w:cstheme="minorHAnsi"/>
          <w:b/>
          <w:spacing w:val="0"/>
          <w:kern w:val="0"/>
          <w:sz w:val="24"/>
          <w:szCs w:val="24"/>
        </w:rPr>
        <w:t xml:space="preserve">Pożyczka </w:t>
      </w:r>
      <w:r w:rsidR="00E12D47" w:rsidRPr="00EF6F38">
        <w:rPr>
          <w:rFonts w:asciiTheme="minorHAnsi" w:hAnsiTheme="minorHAnsi" w:cstheme="minorHAnsi"/>
          <w:b/>
          <w:spacing w:val="0"/>
          <w:kern w:val="0"/>
          <w:sz w:val="24"/>
          <w:szCs w:val="24"/>
        </w:rPr>
        <w:t>na inwestycje rozwojowe</w:t>
      </w:r>
      <w:r w:rsidR="00E01946">
        <w:rPr>
          <w:rFonts w:asciiTheme="minorHAnsi" w:hAnsiTheme="minorHAnsi" w:cstheme="minorHAnsi"/>
          <w:b/>
          <w:spacing w:val="0"/>
          <w:kern w:val="0"/>
          <w:sz w:val="24"/>
          <w:szCs w:val="24"/>
        </w:rPr>
        <w:t xml:space="preserve"> z </w:t>
      </w:r>
      <w:r w:rsidR="00330F3D">
        <w:rPr>
          <w:rFonts w:asciiTheme="minorHAnsi" w:hAnsiTheme="minorHAnsi" w:cstheme="minorHAnsi"/>
          <w:b/>
          <w:spacing w:val="0"/>
          <w:kern w:val="0"/>
          <w:sz w:val="24"/>
          <w:szCs w:val="24"/>
        </w:rPr>
        <w:t>D</w:t>
      </w:r>
      <w:r w:rsidR="00E01946">
        <w:rPr>
          <w:rFonts w:asciiTheme="minorHAnsi" w:hAnsiTheme="minorHAnsi" w:cstheme="minorHAnsi"/>
          <w:b/>
          <w:spacing w:val="0"/>
          <w:kern w:val="0"/>
          <w:sz w:val="24"/>
          <w:szCs w:val="24"/>
        </w:rPr>
        <w:t>otacją</w:t>
      </w:r>
    </w:p>
    <w:p w14:paraId="30C35E6D" w14:textId="77777777" w:rsidR="00AD1A5D" w:rsidRPr="00EF6F38" w:rsidRDefault="00AD1A5D" w:rsidP="00A0187E">
      <w:pPr>
        <w:pStyle w:val="Akapitzlist"/>
        <w:spacing w:after="120" w:line="23" w:lineRule="atLeast"/>
        <w:ind w:left="0"/>
        <w:contextualSpacing w:val="0"/>
        <w:jc w:val="both"/>
        <w:rPr>
          <w:rFonts w:asciiTheme="minorHAnsi" w:hAnsiTheme="minorHAnsi" w:cstheme="minorHAnsi"/>
        </w:rPr>
      </w:pPr>
    </w:p>
    <w:p w14:paraId="79970E77" w14:textId="71BCE133" w:rsidR="007678C3" w:rsidRPr="00EF6F38" w:rsidRDefault="007678C3"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 xml:space="preserve">Podstawowe parametry </w:t>
      </w:r>
      <w:r w:rsidR="00CC1E53" w:rsidRPr="00EF6F38">
        <w:rPr>
          <w:rFonts w:asciiTheme="minorHAnsi" w:hAnsiTheme="minorHAnsi" w:cstheme="minorHAnsi"/>
          <w:b/>
          <w:color w:val="auto"/>
          <w:sz w:val="24"/>
          <w:szCs w:val="24"/>
        </w:rPr>
        <w:t xml:space="preserve">Jednostkowych </w:t>
      </w:r>
      <w:r w:rsidR="00EE5106" w:rsidRPr="00EF6F38">
        <w:rPr>
          <w:rFonts w:asciiTheme="minorHAnsi" w:hAnsiTheme="minorHAnsi" w:cstheme="minorHAnsi"/>
          <w:b/>
          <w:color w:val="auto"/>
          <w:sz w:val="24"/>
          <w:szCs w:val="24"/>
        </w:rPr>
        <w:t>P</w:t>
      </w:r>
      <w:r w:rsidR="00CC1E53" w:rsidRPr="00EF6F38">
        <w:rPr>
          <w:rFonts w:asciiTheme="minorHAnsi" w:hAnsiTheme="minorHAnsi" w:cstheme="minorHAnsi"/>
          <w:b/>
          <w:color w:val="auto"/>
          <w:sz w:val="24"/>
          <w:szCs w:val="24"/>
        </w:rPr>
        <w:t>ożyczek</w:t>
      </w:r>
    </w:p>
    <w:p w14:paraId="792EAC82" w14:textId="30476E12" w:rsidR="00AD587C" w:rsidRPr="00EF6F38" w:rsidRDefault="007678C3" w:rsidP="00E35A64">
      <w:pPr>
        <w:numPr>
          <w:ilvl w:val="0"/>
          <w:numId w:val="2"/>
        </w:numPr>
        <w:spacing w:before="100" w:beforeAutospacing="1" w:after="120"/>
        <w:ind w:left="425" w:hanging="425"/>
        <w:jc w:val="both"/>
        <w:rPr>
          <w:rFonts w:asciiTheme="minorHAnsi" w:hAnsiTheme="minorHAnsi" w:cstheme="minorHAnsi"/>
        </w:rPr>
      </w:pPr>
      <w:r w:rsidRPr="00EF6F38">
        <w:rPr>
          <w:rFonts w:asciiTheme="minorHAnsi" w:hAnsiTheme="minorHAnsi" w:cstheme="minorHAnsi"/>
        </w:rPr>
        <w:t xml:space="preserve">Wartość </w:t>
      </w:r>
      <w:r w:rsidR="00CC1E53" w:rsidRPr="00EF6F38">
        <w:rPr>
          <w:rFonts w:asciiTheme="minorHAnsi" w:hAnsiTheme="minorHAnsi" w:cstheme="minorHAnsi"/>
        </w:rPr>
        <w:t xml:space="preserve">Jednostkowej </w:t>
      </w:r>
      <w:r w:rsidR="00EE5106" w:rsidRPr="00EF6F38">
        <w:rPr>
          <w:rFonts w:asciiTheme="minorHAnsi" w:hAnsiTheme="minorHAnsi" w:cstheme="minorHAnsi"/>
        </w:rPr>
        <w:t>P</w:t>
      </w:r>
      <w:r w:rsidRPr="00EF6F38">
        <w:rPr>
          <w:rFonts w:asciiTheme="minorHAnsi" w:hAnsiTheme="minorHAnsi" w:cstheme="minorHAnsi"/>
        </w:rPr>
        <w:t xml:space="preserve">ożyczki </w:t>
      </w:r>
      <w:r w:rsidR="002F2365" w:rsidRPr="00EF6F38">
        <w:rPr>
          <w:rFonts w:asciiTheme="minorHAnsi" w:hAnsiTheme="minorHAnsi" w:cstheme="minorHAnsi"/>
        </w:rPr>
        <w:t xml:space="preserve">wynosi </w:t>
      </w:r>
      <w:r w:rsidR="006643D7" w:rsidRPr="00EF6F38">
        <w:rPr>
          <w:rFonts w:asciiTheme="minorHAnsi" w:hAnsiTheme="minorHAnsi" w:cstheme="minorHAnsi"/>
        </w:rPr>
        <w:t xml:space="preserve">do </w:t>
      </w:r>
      <w:r w:rsidR="007D7BFA" w:rsidRPr="00EF6F38">
        <w:rPr>
          <w:rFonts w:asciiTheme="minorHAnsi" w:hAnsiTheme="minorHAnsi" w:cstheme="minorHAnsi"/>
        </w:rPr>
        <w:t xml:space="preserve">1 </w:t>
      </w:r>
      <w:r w:rsidR="00E12D47" w:rsidRPr="00EF6F38">
        <w:rPr>
          <w:rFonts w:asciiTheme="minorHAnsi" w:hAnsiTheme="minorHAnsi" w:cstheme="minorHAnsi"/>
        </w:rPr>
        <w:t>5</w:t>
      </w:r>
      <w:r w:rsidR="006643D7" w:rsidRPr="00EF6F38">
        <w:rPr>
          <w:rFonts w:asciiTheme="minorHAnsi" w:hAnsiTheme="minorHAnsi" w:cstheme="minorHAnsi"/>
        </w:rPr>
        <w:t>00 000,00 zł</w:t>
      </w:r>
      <w:r w:rsidR="00B55068" w:rsidRPr="00EF6F38">
        <w:rPr>
          <w:rFonts w:asciiTheme="minorHAnsi" w:hAnsiTheme="minorHAnsi" w:cstheme="minorHAnsi"/>
        </w:rPr>
        <w:t>.</w:t>
      </w:r>
    </w:p>
    <w:p w14:paraId="03A28194" w14:textId="4237E803" w:rsidR="001527A6" w:rsidRPr="00EF6F38" w:rsidRDefault="00BB09DA" w:rsidP="00E35A64">
      <w:pPr>
        <w:numPr>
          <w:ilvl w:val="0"/>
          <w:numId w:val="2"/>
        </w:numPr>
        <w:spacing w:before="100" w:beforeAutospacing="1" w:after="120"/>
        <w:ind w:left="425" w:hanging="425"/>
        <w:jc w:val="both"/>
        <w:rPr>
          <w:rFonts w:asciiTheme="minorHAnsi" w:hAnsiTheme="minorHAnsi" w:cstheme="minorHAnsi"/>
        </w:rPr>
      </w:pPr>
      <w:r w:rsidRPr="00EF6F38">
        <w:rPr>
          <w:rFonts w:asciiTheme="minorHAnsi" w:hAnsiTheme="minorHAnsi" w:cstheme="minorHAnsi"/>
        </w:rPr>
        <w:t>Maksymalny o</w:t>
      </w:r>
      <w:r w:rsidR="00097D21" w:rsidRPr="00EF6F38">
        <w:rPr>
          <w:rFonts w:asciiTheme="minorHAnsi" w:hAnsiTheme="minorHAnsi" w:cstheme="minorHAnsi"/>
        </w:rPr>
        <w:t xml:space="preserve">kres spłaty </w:t>
      </w:r>
      <w:r w:rsidR="00CC1E53" w:rsidRPr="00EF6F38">
        <w:rPr>
          <w:rFonts w:asciiTheme="minorHAnsi" w:hAnsiTheme="minorHAnsi" w:cstheme="minorHAnsi"/>
        </w:rPr>
        <w:t xml:space="preserve">Jednostkowej </w:t>
      </w:r>
      <w:r w:rsidR="00EE5106" w:rsidRPr="00EF6F38">
        <w:rPr>
          <w:rFonts w:asciiTheme="minorHAnsi" w:hAnsiTheme="minorHAnsi" w:cstheme="minorHAnsi"/>
        </w:rPr>
        <w:t>Pożyczki</w:t>
      </w:r>
      <w:r w:rsidR="00097D21" w:rsidRPr="00EF6F38">
        <w:rPr>
          <w:rFonts w:asciiTheme="minorHAnsi" w:hAnsiTheme="minorHAnsi" w:cstheme="minorHAnsi"/>
        </w:rPr>
        <w:t xml:space="preserve"> </w:t>
      </w:r>
      <w:r w:rsidR="00121F2F" w:rsidRPr="00EF6F38">
        <w:rPr>
          <w:rFonts w:asciiTheme="minorHAnsi" w:hAnsiTheme="minorHAnsi" w:cstheme="minorHAnsi"/>
        </w:rPr>
        <w:t>określony w Umowie Inwestycyjnej</w:t>
      </w:r>
      <w:r w:rsidR="00E0159E" w:rsidRPr="00EF6F38">
        <w:rPr>
          <w:rFonts w:asciiTheme="minorHAnsi" w:hAnsiTheme="minorHAnsi" w:cstheme="minorHAnsi"/>
        </w:rPr>
        <w:t>,</w:t>
      </w:r>
      <w:r w:rsidR="00121F2F" w:rsidRPr="00EF6F38">
        <w:rPr>
          <w:rFonts w:asciiTheme="minorHAnsi" w:hAnsiTheme="minorHAnsi" w:cstheme="minorHAnsi"/>
        </w:rPr>
        <w:t xml:space="preserve"> </w:t>
      </w:r>
      <w:r w:rsidR="00097D21" w:rsidRPr="00EF6F38">
        <w:rPr>
          <w:rFonts w:asciiTheme="minorHAnsi" w:hAnsiTheme="minorHAnsi" w:cstheme="minorHAnsi"/>
        </w:rPr>
        <w:t xml:space="preserve">nie może być dłuższy niż </w:t>
      </w:r>
      <w:r w:rsidR="00EA4A71" w:rsidRPr="00EF6F38">
        <w:rPr>
          <w:rFonts w:asciiTheme="minorHAnsi" w:hAnsiTheme="minorHAnsi" w:cstheme="minorHAnsi"/>
        </w:rPr>
        <w:t>96</w:t>
      </w:r>
      <w:r w:rsidR="006F162D" w:rsidRPr="00EF6F38">
        <w:rPr>
          <w:rFonts w:asciiTheme="minorHAnsi" w:hAnsiTheme="minorHAnsi" w:cstheme="minorHAnsi"/>
        </w:rPr>
        <w:t> </w:t>
      </w:r>
      <w:r w:rsidR="002E5FF3" w:rsidRPr="00EF6F38">
        <w:rPr>
          <w:rFonts w:asciiTheme="minorHAnsi" w:hAnsiTheme="minorHAnsi" w:cstheme="minorHAnsi"/>
        </w:rPr>
        <w:t xml:space="preserve"> </w:t>
      </w:r>
      <w:r w:rsidR="005A6D8A" w:rsidRPr="00EF6F38">
        <w:rPr>
          <w:rFonts w:asciiTheme="minorHAnsi" w:hAnsiTheme="minorHAnsi" w:cstheme="minorHAnsi"/>
        </w:rPr>
        <w:t>miesięcy</w:t>
      </w:r>
      <w:r w:rsidR="00AE7DAF" w:rsidRPr="00EF6F38">
        <w:rPr>
          <w:rFonts w:asciiTheme="minorHAnsi" w:hAnsiTheme="minorHAnsi" w:cstheme="minorHAnsi"/>
        </w:rPr>
        <w:t xml:space="preserve"> od</w:t>
      </w:r>
      <w:r w:rsidR="00AD1A5D" w:rsidRPr="00EF6F38">
        <w:rPr>
          <w:rFonts w:asciiTheme="minorHAnsi" w:hAnsiTheme="minorHAnsi" w:cstheme="minorHAnsi"/>
        </w:rPr>
        <w:t> </w:t>
      </w:r>
      <w:r w:rsidR="00187E6C" w:rsidRPr="00EF6F38">
        <w:rPr>
          <w:rFonts w:asciiTheme="minorHAnsi" w:hAnsiTheme="minorHAnsi" w:cstheme="minorHAnsi"/>
        </w:rPr>
        <w:t xml:space="preserve">dnia </w:t>
      </w:r>
      <w:r w:rsidR="00AE7DAF" w:rsidRPr="00EF6F38">
        <w:rPr>
          <w:rFonts w:asciiTheme="minorHAnsi" w:hAnsiTheme="minorHAnsi" w:cstheme="minorHAnsi"/>
        </w:rPr>
        <w:t>jej uruchomienia</w:t>
      </w:r>
      <w:r w:rsidR="00854DE4" w:rsidRPr="00EF6F38">
        <w:rPr>
          <w:rFonts w:asciiTheme="minorHAnsi" w:hAnsiTheme="minorHAnsi" w:cstheme="minorHAnsi"/>
        </w:rPr>
        <w:t>, tj. wypłaty</w:t>
      </w:r>
      <w:r w:rsidRPr="00EF6F38">
        <w:rPr>
          <w:rFonts w:asciiTheme="minorHAnsi" w:hAnsiTheme="minorHAnsi" w:cstheme="minorHAnsi"/>
        </w:rPr>
        <w:t xml:space="preserve"> jakiejkolwiek kwoty</w:t>
      </w:r>
      <w:r w:rsidR="00854DE4" w:rsidRPr="00EF6F38">
        <w:rPr>
          <w:rFonts w:asciiTheme="minorHAnsi" w:hAnsiTheme="minorHAnsi" w:cstheme="minorHAnsi"/>
        </w:rPr>
        <w:t xml:space="preserve"> </w:t>
      </w:r>
      <w:r w:rsidRPr="00EF6F38">
        <w:rPr>
          <w:rFonts w:asciiTheme="minorHAnsi" w:hAnsiTheme="minorHAnsi" w:cstheme="minorHAnsi"/>
        </w:rPr>
        <w:t>Jednostkowej</w:t>
      </w:r>
      <w:r w:rsidR="00854DE4" w:rsidRPr="00EF6F38">
        <w:rPr>
          <w:rFonts w:asciiTheme="minorHAnsi" w:hAnsiTheme="minorHAnsi" w:cstheme="minorHAnsi"/>
        </w:rPr>
        <w:t xml:space="preserve"> </w:t>
      </w:r>
      <w:r w:rsidR="00EE5106" w:rsidRPr="00EF6F38">
        <w:rPr>
          <w:rFonts w:asciiTheme="minorHAnsi" w:hAnsiTheme="minorHAnsi" w:cstheme="minorHAnsi"/>
        </w:rPr>
        <w:t>Pożyczki</w:t>
      </w:r>
      <w:r w:rsidR="00097D21" w:rsidRPr="00EF6F38">
        <w:rPr>
          <w:rFonts w:asciiTheme="minorHAnsi" w:hAnsiTheme="minorHAnsi" w:cstheme="minorHAnsi"/>
        </w:rPr>
        <w:t>.</w:t>
      </w:r>
    </w:p>
    <w:p w14:paraId="3BBD42A2" w14:textId="6B270511" w:rsidR="003D6E49" w:rsidRPr="00EF6F38" w:rsidRDefault="00141695" w:rsidP="003D6E49">
      <w:pPr>
        <w:numPr>
          <w:ilvl w:val="0"/>
          <w:numId w:val="2"/>
        </w:numPr>
        <w:spacing w:before="100" w:beforeAutospacing="1" w:after="120"/>
        <w:ind w:left="425" w:hanging="425"/>
        <w:jc w:val="both"/>
        <w:rPr>
          <w:rFonts w:asciiTheme="minorHAnsi" w:hAnsiTheme="minorHAnsi" w:cstheme="minorHAnsi"/>
        </w:rPr>
      </w:pPr>
      <w:r w:rsidRPr="00EF6F38">
        <w:rPr>
          <w:rFonts w:asciiTheme="minorHAnsi" w:hAnsiTheme="minorHAnsi" w:cstheme="minorHAnsi"/>
        </w:rPr>
        <w:t>P</w:t>
      </w:r>
      <w:r w:rsidR="00BB09DA" w:rsidRPr="00EF6F38">
        <w:rPr>
          <w:rFonts w:asciiTheme="minorHAnsi" w:hAnsiTheme="minorHAnsi" w:cstheme="minorHAnsi"/>
        </w:rPr>
        <w:t>ożyczkodawca</w:t>
      </w:r>
      <w:r w:rsidR="003A296A" w:rsidRPr="00EF6F38">
        <w:rPr>
          <w:rFonts w:asciiTheme="minorHAnsi" w:hAnsiTheme="minorHAnsi" w:cstheme="minorHAnsi"/>
        </w:rPr>
        <w:t xml:space="preserve"> na wniosek </w:t>
      </w:r>
      <w:r w:rsidR="00BB09DA" w:rsidRPr="00EF6F38">
        <w:rPr>
          <w:rFonts w:asciiTheme="minorHAnsi" w:hAnsiTheme="minorHAnsi" w:cstheme="minorHAnsi"/>
        </w:rPr>
        <w:t>Pożyczkobiorcy</w:t>
      </w:r>
      <w:r w:rsidR="003A296A" w:rsidRPr="00EF6F38">
        <w:rPr>
          <w:rFonts w:asciiTheme="minorHAnsi" w:hAnsiTheme="minorHAnsi" w:cstheme="minorHAnsi"/>
        </w:rPr>
        <w:t xml:space="preserve"> może udzielić karencji w spłacie kapitału Jednostkowej Pożyczki co do zasady na czas realizacji Inwestycji Końcowej, nie dłużej jednak niż na</w:t>
      </w:r>
      <w:r w:rsidR="00CC1E53" w:rsidRPr="00EF6F38">
        <w:rPr>
          <w:rFonts w:asciiTheme="minorHAnsi" w:hAnsiTheme="minorHAnsi" w:cstheme="minorHAnsi"/>
        </w:rPr>
        <w:t xml:space="preserve"> </w:t>
      </w:r>
      <w:r w:rsidR="00EA4A71" w:rsidRPr="00EF6F38">
        <w:rPr>
          <w:rFonts w:asciiTheme="minorHAnsi" w:hAnsiTheme="minorHAnsi" w:cstheme="minorHAnsi"/>
        </w:rPr>
        <w:t>12</w:t>
      </w:r>
      <w:r w:rsidR="006F162D" w:rsidRPr="00EF6F38">
        <w:rPr>
          <w:rFonts w:asciiTheme="minorHAnsi" w:hAnsiTheme="minorHAnsi" w:cstheme="minorHAnsi"/>
        </w:rPr>
        <w:t> </w:t>
      </w:r>
      <w:r w:rsidR="00EA4A71" w:rsidRPr="00EF6F38">
        <w:rPr>
          <w:rFonts w:asciiTheme="minorHAnsi" w:hAnsiTheme="minorHAnsi" w:cstheme="minorHAnsi"/>
        </w:rPr>
        <w:t xml:space="preserve"> </w:t>
      </w:r>
      <w:r w:rsidR="00CC1E53" w:rsidRPr="00EF6F38">
        <w:rPr>
          <w:rFonts w:asciiTheme="minorHAnsi" w:hAnsiTheme="minorHAnsi" w:cstheme="minorHAnsi"/>
        </w:rPr>
        <w:t>miesięcy</w:t>
      </w:r>
      <w:r w:rsidR="006856FE" w:rsidRPr="00EF6F38">
        <w:rPr>
          <w:rFonts w:asciiTheme="minorHAnsi" w:hAnsiTheme="minorHAnsi" w:cstheme="minorHAnsi"/>
        </w:rPr>
        <w:t xml:space="preserve"> od dnia uruchomienia</w:t>
      </w:r>
      <w:r w:rsidR="00911D2D" w:rsidRPr="00EF6F38">
        <w:rPr>
          <w:rFonts w:asciiTheme="minorHAnsi" w:hAnsiTheme="minorHAnsi" w:cstheme="minorHAnsi"/>
        </w:rPr>
        <w:t xml:space="preserve"> Jednostkowej Pożyczki</w:t>
      </w:r>
      <w:r w:rsidR="00CC1E53" w:rsidRPr="00EF6F38">
        <w:rPr>
          <w:rFonts w:asciiTheme="minorHAnsi" w:hAnsiTheme="minorHAnsi" w:cstheme="minorHAnsi"/>
        </w:rPr>
        <w:t>, przy czym karencja nie wydłuża</w:t>
      </w:r>
      <w:r w:rsidR="00136F48" w:rsidRPr="00EF6F38">
        <w:rPr>
          <w:rFonts w:asciiTheme="minorHAnsi" w:hAnsiTheme="minorHAnsi" w:cstheme="minorHAnsi"/>
        </w:rPr>
        <w:t xml:space="preserve"> przyjętego zgodnie z p</w:t>
      </w:r>
      <w:r w:rsidR="00BB09DA" w:rsidRPr="00EF6F38">
        <w:rPr>
          <w:rFonts w:asciiTheme="minorHAnsi" w:hAnsiTheme="minorHAnsi" w:cstheme="minorHAnsi"/>
        </w:rPr>
        <w:t>kt</w:t>
      </w:r>
      <w:r w:rsidR="00136F48" w:rsidRPr="00EF6F38">
        <w:rPr>
          <w:rFonts w:asciiTheme="minorHAnsi" w:hAnsiTheme="minorHAnsi" w:cstheme="minorHAnsi"/>
        </w:rPr>
        <w:t xml:space="preserve"> </w:t>
      </w:r>
      <w:r w:rsidR="00BB09DA" w:rsidRPr="00EF6F38">
        <w:rPr>
          <w:rFonts w:asciiTheme="minorHAnsi" w:hAnsiTheme="minorHAnsi" w:cstheme="minorHAnsi"/>
        </w:rPr>
        <w:t>2</w:t>
      </w:r>
      <w:r w:rsidR="00CC1E53" w:rsidRPr="00EF6F38">
        <w:rPr>
          <w:rFonts w:asciiTheme="minorHAnsi" w:hAnsiTheme="minorHAnsi" w:cstheme="minorHAnsi"/>
        </w:rPr>
        <w:t xml:space="preserve"> </w:t>
      </w:r>
      <w:r w:rsidR="00BB09DA" w:rsidRPr="00EF6F38">
        <w:rPr>
          <w:rFonts w:asciiTheme="minorHAnsi" w:hAnsiTheme="minorHAnsi" w:cstheme="minorHAnsi"/>
        </w:rPr>
        <w:t xml:space="preserve">powyżej </w:t>
      </w:r>
      <w:r w:rsidR="00CC1E53" w:rsidRPr="00EF6F38">
        <w:rPr>
          <w:rFonts w:asciiTheme="minorHAnsi" w:hAnsiTheme="minorHAnsi" w:cstheme="minorHAnsi"/>
        </w:rPr>
        <w:t>okresu spłaty</w:t>
      </w:r>
      <w:r w:rsidR="00FB32EA" w:rsidRPr="00EF6F38">
        <w:rPr>
          <w:rFonts w:asciiTheme="minorHAnsi" w:hAnsiTheme="minorHAnsi" w:cstheme="minorHAnsi"/>
        </w:rPr>
        <w:t>.</w:t>
      </w:r>
    </w:p>
    <w:p w14:paraId="03AE59AF" w14:textId="62C55959" w:rsidR="00BB09DA" w:rsidRPr="00EF6F38" w:rsidRDefault="00BB09DA" w:rsidP="00E35A64">
      <w:pPr>
        <w:numPr>
          <w:ilvl w:val="0"/>
          <w:numId w:val="2"/>
        </w:numPr>
        <w:spacing w:before="100" w:beforeAutospacing="1" w:after="120"/>
        <w:ind w:left="425" w:hanging="425"/>
        <w:jc w:val="both"/>
        <w:rPr>
          <w:rFonts w:asciiTheme="minorHAnsi" w:hAnsiTheme="minorHAnsi" w:cstheme="minorHAnsi"/>
        </w:rPr>
      </w:pPr>
      <w:r w:rsidRPr="00EF6F38">
        <w:rPr>
          <w:rFonts w:asciiTheme="minorHAnsi" w:hAnsiTheme="minorHAnsi" w:cstheme="minorHAnsi"/>
        </w:rPr>
        <w:t>Jeden Pożyczkobiorca może otrzymać więcej niż jedną Jednostkową Pożyczkę, przy czym łączna wartość wszystkich Jednostkowych Pożyczek udzielonych jednemu Pożyczkobiorcy nie może być wyższa niż 1 500 000,00 zł.</w:t>
      </w:r>
    </w:p>
    <w:p w14:paraId="15940BA7" w14:textId="725C2868" w:rsidR="00ED3941" w:rsidRPr="00EF6F38" w:rsidRDefault="001C352C"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P</w:t>
      </w:r>
      <w:r w:rsidR="00ED3941" w:rsidRPr="00EF6F38">
        <w:rPr>
          <w:rFonts w:asciiTheme="minorHAnsi" w:hAnsiTheme="minorHAnsi" w:cstheme="minorHAnsi"/>
          <w:b/>
          <w:color w:val="auto"/>
          <w:sz w:val="24"/>
          <w:szCs w:val="24"/>
        </w:rPr>
        <w:t>referencje przy udzielaniu Jednostkowych Pożyczek</w:t>
      </w:r>
    </w:p>
    <w:p w14:paraId="0396CC2D" w14:textId="2CFE4DBD" w:rsidR="00BB09DA" w:rsidRPr="00EF6F38" w:rsidRDefault="00BB09DA" w:rsidP="0020003A">
      <w:pPr>
        <w:pStyle w:val="Akapitzlist"/>
        <w:numPr>
          <w:ilvl w:val="0"/>
          <w:numId w:val="24"/>
        </w:numPr>
        <w:spacing w:after="120"/>
        <w:jc w:val="both"/>
        <w:rPr>
          <w:rFonts w:asciiTheme="minorHAnsi" w:hAnsiTheme="minorHAnsi" w:cstheme="minorHAnsi"/>
        </w:rPr>
      </w:pPr>
      <w:r w:rsidRPr="00EF6F38">
        <w:rPr>
          <w:rFonts w:asciiTheme="minorHAnsi" w:hAnsiTheme="minorHAnsi" w:cstheme="minorHAnsi"/>
        </w:rPr>
        <w:t xml:space="preserve">Przy udzielaniu Jednostkowych Pożyczek przewiduje się możliwość udzielenia </w:t>
      </w:r>
      <w:r w:rsidR="00122221">
        <w:rPr>
          <w:rFonts w:asciiTheme="minorHAnsi" w:hAnsiTheme="minorHAnsi" w:cstheme="minorHAnsi"/>
        </w:rPr>
        <w:t>D</w:t>
      </w:r>
      <w:r w:rsidRPr="00EF6F38">
        <w:rPr>
          <w:rFonts w:asciiTheme="minorHAnsi" w:hAnsiTheme="minorHAnsi" w:cstheme="minorHAnsi"/>
        </w:rPr>
        <w:t>otacji</w:t>
      </w:r>
      <w:r w:rsidR="0004423B">
        <w:rPr>
          <w:rFonts w:asciiTheme="minorHAnsi" w:hAnsiTheme="minorHAnsi" w:cstheme="minorHAnsi"/>
        </w:rPr>
        <w:t xml:space="preserve"> na spłatę </w:t>
      </w:r>
      <w:r w:rsidR="00E56212">
        <w:rPr>
          <w:rFonts w:asciiTheme="minorHAnsi" w:hAnsiTheme="minorHAnsi" w:cstheme="minorHAnsi"/>
        </w:rPr>
        <w:t xml:space="preserve">części </w:t>
      </w:r>
      <w:r w:rsidR="0004423B">
        <w:rPr>
          <w:rFonts w:asciiTheme="minorHAnsi" w:hAnsiTheme="minorHAnsi" w:cstheme="minorHAnsi"/>
        </w:rPr>
        <w:t xml:space="preserve">kapitału </w:t>
      </w:r>
      <w:r w:rsidR="00330F3D" w:rsidRPr="00330F3D">
        <w:rPr>
          <w:rFonts w:asciiTheme="minorHAnsi" w:hAnsiTheme="minorHAnsi" w:cstheme="minorHAnsi"/>
        </w:rPr>
        <w:t xml:space="preserve">Jednostkowej Pożyczki </w:t>
      </w:r>
      <w:r w:rsidR="0004423B">
        <w:rPr>
          <w:rFonts w:asciiTheme="minorHAnsi" w:hAnsiTheme="minorHAnsi" w:cstheme="minorHAnsi"/>
        </w:rPr>
        <w:t>(</w:t>
      </w:r>
      <w:r w:rsidR="00E56212">
        <w:rPr>
          <w:rFonts w:asciiTheme="minorHAnsi" w:hAnsiTheme="minorHAnsi" w:cstheme="minorHAnsi"/>
        </w:rPr>
        <w:t xml:space="preserve">dalej: </w:t>
      </w:r>
      <w:r w:rsidR="0004423B">
        <w:rPr>
          <w:rFonts w:asciiTheme="minorHAnsi" w:hAnsiTheme="minorHAnsi" w:cstheme="minorHAnsi"/>
        </w:rPr>
        <w:t>Dotacja)</w:t>
      </w:r>
      <w:r w:rsidRPr="00EF6F38">
        <w:rPr>
          <w:rFonts w:asciiTheme="minorHAnsi" w:hAnsiTheme="minorHAnsi" w:cstheme="minorHAnsi"/>
        </w:rPr>
        <w:t>, w przypadku spełnienia jednego z warunków wymienionych poniżej</w:t>
      </w:r>
      <w:r w:rsidR="00E01946">
        <w:rPr>
          <w:rFonts w:asciiTheme="minorHAnsi" w:hAnsiTheme="minorHAnsi" w:cstheme="minorHAnsi"/>
        </w:rPr>
        <w:t>,</w:t>
      </w:r>
      <w:r w:rsidRPr="00EF6F38">
        <w:rPr>
          <w:rFonts w:asciiTheme="minorHAnsi" w:hAnsiTheme="minorHAnsi" w:cstheme="minorHAnsi"/>
        </w:rPr>
        <w:t xml:space="preserve"> w wysokości 12% wartości Jednostkowej Pożyczki dla:</w:t>
      </w:r>
    </w:p>
    <w:p w14:paraId="700E2D2E" w14:textId="5855B62F" w:rsidR="008962E3" w:rsidRPr="00EF6F38" w:rsidRDefault="008962E3" w:rsidP="00E35A64">
      <w:pPr>
        <w:numPr>
          <w:ilvl w:val="0"/>
          <w:numId w:val="11"/>
        </w:numPr>
        <w:spacing w:before="100" w:beforeAutospacing="1" w:after="120"/>
        <w:jc w:val="both"/>
        <w:rPr>
          <w:rFonts w:asciiTheme="minorHAnsi" w:hAnsiTheme="minorHAnsi" w:cstheme="minorHAnsi"/>
        </w:rPr>
      </w:pPr>
      <w:r w:rsidRPr="00EF6F38">
        <w:rPr>
          <w:rFonts w:asciiTheme="minorHAnsi" w:hAnsiTheme="minorHAnsi" w:cstheme="minorHAnsi"/>
        </w:rPr>
        <w:t>realizacji inwestycji przyczyniających się do cyfryzacji, automatyzacji lub robotyzacji procesów w przedsiębiorstwie;</w:t>
      </w:r>
    </w:p>
    <w:p w14:paraId="624D34D7" w14:textId="3FA24BF8" w:rsidR="00D66DE8" w:rsidRPr="00EF6F38" w:rsidRDefault="00D66DE8" w:rsidP="00E35A64">
      <w:pPr>
        <w:numPr>
          <w:ilvl w:val="0"/>
          <w:numId w:val="11"/>
        </w:numPr>
        <w:spacing w:before="100" w:beforeAutospacing="1" w:after="120"/>
        <w:jc w:val="both"/>
        <w:rPr>
          <w:rFonts w:asciiTheme="minorHAnsi" w:hAnsiTheme="minorHAnsi" w:cstheme="minorHAnsi"/>
        </w:rPr>
      </w:pPr>
      <w:r w:rsidRPr="00EF6F38">
        <w:rPr>
          <w:rFonts w:asciiTheme="minorHAnsi" w:hAnsiTheme="minorHAnsi" w:cstheme="minorHAnsi"/>
        </w:rPr>
        <w:t xml:space="preserve">stworzenie i utrzymanie (min. </w:t>
      </w:r>
      <w:r w:rsidR="008962E3" w:rsidRPr="00EF6F38">
        <w:rPr>
          <w:rFonts w:asciiTheme="minorHAnsi" w:hAnsiTheme="minorHAnsi" w:cstheme="minorHAnsi"/>
        </w:rPr>
        <w:t>p</w:t>
      </w:r>
      <w:r w:rsidRPr="00EF6F38">
        <w:rPr>
          <w:rFonts w:asciiTheme="minorHAnsi" w:hAnsiTheme="minorHAnsi" w:cstheme="minorHAnsi"/>
        </w:rPr>
        <w:t>rzez 1 rok) dodatkowego miejsca pracy</w:t>
      </w:r>
      <w:r w:rsidR="008962E3" w:rsidRPr="00EF6F38">
        <w:rPr>
          <w:rFonts w:asciiTheme="minorHAnsi" w:hAnsiTheme="minorHAnsi" w:cstheme="minorHAnsi"/>
        </w:rPr>
        <w:t>;</w:t>
      </w:r>
    </w:p>
    <w:p w14:paraId="1E98D61F" w14:textId="50A20236" w:rsidR="00D66DE8" w:rsidRPr="00EF6F38" w:rsidRDefault="00D66DE8" w:rsidP="00E35A64">
      <w:pPr>
        <w:numPr>
          <w:ilvl w:val="0"/>
          <w:numId w:val="11"/>
        </w:numPr>
        <w:spacing w:before="100" w:beforeAutospacing="1" w:after="120"/>
        <w:jc w:val="both"/>
        <w:rPr>
          <w:rFonts w:asciiTheme="minorHAnsi" w:hAnsiTheme="minorHAnsi" w:cstheme="minorHAnsi"/>
        </w:rPr>
      </w:pPr>
      <w:r w:rsidRPr="00EF6F38">
        <w:rPr>
          <w:rFonts w:asciiTheme="minorHAnsi" w:hAnsiTheme="minorHAnsi" w:cstheme="minorHAnsi"/>
        </w:rPr>
        <w:t>w wyniku realizacji przedsięwzięcia powstała innowacja na poziomie krajowym</w:t>
      </w:r>
      <w:r w:rsidRPr="00EF6F38">
        <w:rPr>
          <w:rStyle w:val="Odwoanieprzypisudolnego"/>
          <w:rFonts w:asciiTheme="minorHAnsi" w:hAnsiTheme="minorHAnsi" w:cstheme="minorHAnsi"/>
        </w:rPr>
        <w:footnoteReference w:id="2"/>
      </w:r>
      <w:r w:rsidR="008962E3" w:rsidRPr="00EF6F38">
        <w:rPr>
          <w:rFonts w:asciiTheme="minorHAnsi" w:hAnsiTheme="minorHAnsi" w:cstheme="minorHAnsi"/>
        </w:rPr>
        <w:t>;</w:t>
      </w:r>
    </w:p>
    <w:p w14:paraId="0A9364F2" w14:textId="0E158558" w:rsidR="00AD0EC6" w:rsidRPr="00EF6F38" w:rsidRDefault="006A73F6" w:rsidP="00E35A64">
      <w:pPr>
        <w:numPr>
          <w:ilvl w:val="0"/>
          <w:numId w:val="11"/>
        </w:numPr>
        <w:spacing w:before="100" w:beforeAutospacing="1" w:after="120"/>
        <w:jc w:val="both"/>
        <w:rPr>
          <w:rFonts w:asciiTheme="minorHAnsi" w:hAnsiTheme="minorHAnsi" w:cstheme="minorHAnsi"/>
        </w:rPr>
      </w:pPr>
      <w:r w:rsidRPr="00EF6F38">
        <w:rPr>
          <w:rFonts w:asciiTheme="minorHAnsi" w:hAnsiTheme="minorHAnsi" w:cstheme="minorHAnsi"/>
        </w:rPr>
        <w:t xml:space="preserve">inwestycji realizowanych na terenach gmin, dla których </w:t>
      </w:r>
      <w:r w:rsidR="005143FB" w:rsidRPr="00EF6F38">
        <w:rPr>
          <w:rFonts w:asciiTheme="minorHAnsi" w:hAnsiTheme="minorHAnsi" w:cstheme="minorHAnsi"/>
        </w:rPr>
        <w:t xml:space="preserve">dla indywidualny wskaźnik zamożności jednostki samorządu terytorialnego </w:t>
      </w:r>
      <w:r w:rsidR="00012F3E" w:rsidRPr="00EF6F38">
        <w:rPr>
          <w:rStyle w:val="Odwoanieprzypisudolnego"/>
          <w:rFonts w:asciiTheme="minorHAnsi" w:hAnsiTheme="minorHAnsi" w:cstheme="minorHAnsi"/>
        </w:rPr>
        <w:footnoteReference w:id="3"/>
      </w:r>
      <w:r w:rsidRPr="00EF6F38">
        <w:rPr>
          <w:rFonts w:asciiTheme="minorHAnsi" w:hAnsiTheme="minorHAnsi" w:cstheme="minorHAnsi"/>
        </w:rPr>
        <w:t xml:space="preserve"> jest poniżej średniej regionalnej lub OSI Obszary </w:t>
      </w:r>
      <w:r w:rsidRPr="00EF6F38">
        <w:rPr>
          <w:rFonts w:asciiTheme="minorHAnsi" w:hAnsiTheme="minorHAnsi" w:cstheme="minorHAnsi"/>
        </w:rPr>
        <w:lastRenderedPageBreak/>
        <w:t>Marginalizacji</w:t>
      </w:r>
      <w:r w:rsidR="00012F3E" w:rsidRPr="00EF6F38">
        <w:rPr>
          <w:rStyle w:val="Odwoanieprzypisudolnego"/>
          <w:rFonts w:asciiTheme="minorHAnsi" w:hAnsiTheme="minorHAnsi" w:cstheme="minorHAnsi"/>
        </w:rPr>
        <w:footnoteReference w:id="4"/>
      </w:r>
      <w:r w:rsidRPr="00EF6F38">
        <w:rPr>
          <w:rFonts w:asciiTheme="minorHAnsi" w:hAnsiTheme="minorHAnsi" w:cstheme="minorHAnsi"/>
        </w:rPr>
        <w:t xml:space="preserve"> lub OSI</w:t>
      </w:r>
      <w:r w:rsidR="00631EDF" w:rsidRPr="00EF6F38">
        <w:rPr>
          <w:rFonts w:asciiTheme="minorHAnsi" w:hAnsiTheme="minorHAnsi" w:cstheme="minorHAnsi"/>
        </w:rPr>
        <w:t xml:space="preserve"> Miasta tracące funkcje społeczno-gospodarcze</w:t>
      </w:r>
      <w:r w:rsidR="00012F3E" w:rsidRPr="00EF6F38">
        <w:rPr>
          <w:rStyle w:val="Odwoanieprzypisudolnego"/>
          <w:rFonts w:asciiTheme="minorHAnsi" w:hAnsiTheme="minorHAnsi" w:cstheme="minorHAnsi"/>
        </w:rPr>
        <w:footnoteReference w:id="5"/>
      </w:r>
      <w:r w:rsidR="00631EDF" w:rsidRPr="00EF6F38">
        <w:rPr>
          <w:rFonts w:asciiTheme="minorHAnsi" w:hAnsiTheme="minorHAnsi" w:cstheme="minorHAnsi"/>
        </w:rPr>
        <w:t xml:space="preserve"> lub Integratora Mazurskiego</w:t>
      </w:r>
      <w:r w:rsidR="00012F3E" w:rsidRPr="00EF6F38">
        <w:rPr>
          <w:rStyle w:val="Odwoanieprzypisudolnego"/>
          <w:rFonts w:asciiTheme="minorHAnsi" w:hAnsiTheme="minorHAnsi" w:cstheme="minorHAnsi"/>
        </w:rPr>
        <w:footnoteReference w:id="6"/>
      </w:r>
      <w:r w:rsidR="00631EDF" w:rsidRPr="00EF6F38">
        <w:rPr>
          <w:rFonts w:asciiTheme="minorHAnsi" w:hAnsiTheme="minorHAnsi" w:cstheme="minorHAnsi"/>
        </w:rPr>
        <w:t xml:space="preserve"> lub na terenie przygranicznych powiatów województwa</w:t>
      </w:r>
      <w:r w:rsidR="00012F3E" w:rsidRPr="00EF6F38">
        <w:rPr>
          <w:rStyle w:val="Odwoanieprzypisudolnego"/>
          <w:rFonts w:asciiTheme="minorHAnsi" w:hAnsiTheme="minorHAnsi" w:cstheme="minorHAnsi"/>
        </w:rPr>
        <w:footnoteReference w:id="7"/>
      </w:r>
      <w:r w:rsidR="008962E3" w:rsidRPr="00EF6F38">
        <w:rPr>
          <w:rFonts w:asciiTheme="minorHAnsi" w:hAnsiTheme="minorHAnsi" w:cstheme="minorHAnsi"/>
        </w:rPr>
        <w:t>;</w:t>
      </w:r>
    </w:p>
    <w:p w14:paraId="03A958EB" w14:textId="47C627A0" w:rsidR="00756BAF" w:rsidRPr="00EF6F38" w:rsidRDefault="00DB3280" w:rsidP="00E35A64">
      <w:pPr>
        <w:numPr>
          <w:ilvl w:val="0"/>
          <w:numId w:val="11"/>
        </w:numPr>
        <w:spacing w:before="100" w:beforeAutospacing="1" w:after="120"/>
        <w:jc w:val="both"/>
        <w:rPr>
          <w:rFonts w:asciiTheme="minorHAnsi" w:hAnsiTheme="minorHAnsi" w:cstheme="minorHAnsi"/>
        </w:rPr>
      </w:pPr>
      <w:r w:rsidRPr="00EF6F38">
        <w:rPr>
          <w:rFonts w:asciiTheme="minorHAnsi" w:hAnsiTheme="minorHAnsi" w:cstheme="minorHAnsi"/>
        </w:rPr>
        <w:t>inwestycji wykazujących wpływ na rozwój inteligentnych specjalizacji regionalnych</w:t>
      </w:r>
      <w:r w:rsidR="00AD0EC6" w:rsidRPr="00EF6F38">
        <w:rPr>
          <w:rStyle w:val="Odwoanieprzypisudolnego"/>
          <w:rFonts w:asciiTheme="minorHAnsi" w:hAnsiTheme="minorHAnsi" w:cstheme="minorHAnsi"/>
        </w:rPr>
        <w:footnoteReference w:id="8"/>
      </w:r>
      <w:r w:rsidR="00AB6CB0" w:rsidRPr="00EF6F38">
        <w:rPr>
          <w:rFonts w:asciiTheme="minorHAnsi" w:hAnsiTheme="minorHAnsi" w:cstheme="minorHAnsi"/>
        </w:rPr>
        <w:t>.</w:t>
      </w:r>
    </w:p>
    <w:p w14:paraId="543C264C" w14:textId="02B5A5AA" w:rsidR="00C36F8B" w:rsidRPr="00EF6F38" w:rsidRDefault="00C36F8B" w:rsidP="0020003A">
      <w:pPr>
        <w:numPr>
          <w:ilvl w:val="0"/>
          <w:numId w:val="24"/>
        </w:numPr>
        <w:spacing w:after="120"/>
        <w:jc w:val="both"/>
        <w:rPr>
          <w:rFonts w:asciiTheme="minorHAnsi" w:hAnsiTheme="minorHAnsi" w:cstheme="minorHAnsi"/>
        </w:rPr>
      </w:pPr>
      <w:r w:rsidRPr="00EF6F38">
        <w:rPr>
          <w:rFonts w:asciiTheme="minorHAnsi" w:hAnsiTheme="minorHAnsi" w:cstheme="minorHAnsi"/>
        </w:rPr>
        <w:t xml:space="preserve">W przypadku spełnienia przez </w:t>
      </w:r>
      <w:r w:rsidR="009F2BE5" w:rsidRPr="00EF6F38">
        <w:rPr>
          <w:rFonts w:asciiTheme="minorHAnsi" w:hAnsiTheme="minorHAnsi" w:cstheme="minorHAnsi"/>
        </w:rPr>
        <w:t xml:space="preserve">Pożyczkobiorcę </w:t>
      </w:r>
      <w:r w:rsidRPr="00EF6F38">
        <w:rPr>
          <w:rFonts w:asciiTheme="minorHAnsi" w:hAnsiTheme="minorHAnsi" w:cstheme="minorHAnsi"/>
        </w:rPr>
        <w:t xml:space="preserve">więcej niż jednego z ww. warunków wysokość </w:t>
      </w:r>
      <w:r w:rsidR="0004423B">
        <w:rPr>
          <w:rFonts w:asciiTheme="minorHAnsi" w:hAnsiTheme="minorHAnsi" w:cstheme="minorHAnsi"/>
        </w:rPr>
        <w:t>D</w:t>
      </w:r>
      <w:r w:rsidR="000B5DBF">
        <w:rPr>
          <w:rFonts w:asciiTheme="minorHAnsi" w:hAnsiTheme="minorHAnsi" w:cstheme="minorHAnsi"/>
        </w:rPr>
        <w:t xml:space="preserve">otacji </w:t>
      </w:r>
      <w:r w:rsidRPr="00EF6F38">
        <w:rPr>
          <w:rFonts w:asciiTheme="minorHAnsi" w:hAnsiTheme="minorHAnsi" w:cstheme="minorHAnsi"/>
        </w:rPr>
        <w:t>nie sumuje się.</w:t>
      </w:r>
    </w:p>
    <w:p w14:paraId="49DA2662" w14:textId="6DC9346E" w:rsidR="00781EE5" w:rsidRPr="00EF6F38" w:rsidRDefault="00781EE5" w:rsidP="0020003A">
      <w:pPr>
        <w:numPr>
          <w:ilvl w:val="0"/>
          <w:numId w:val="24"/>
        </w:numPr>
        <w:spacing w:after="120"/>
        <w:jc w:val="both"/>
        <w:rPr>
          <w:rFonts w:asciiTheme="minorHAnsi" w:hAnsiTheme="minorHAnsi" w:cstheme="minorHAnsi"/>
        </w:rPr>
      </w:pPr>
      <w:r w:rsidRPr="00EF6F38">
        <w:rPr>
          <w:rFonts w:asciiTheme="minorHAnsi" w:hAnsiTheme="minorHAnsi" w:cstheme="minorHAnsi"/>
        </w:rPr>
        <w:t>Informacje dotyczące spełnian</w:t>
      </w:r>
      <w:r w:rsidR="00826513">
        <w:rPr>
          <w:rFonts w:asciiTheme="minorHAnsi" w:hAnsiTheme="minorHAnsi" w:cstheme="minorHAnsi"/>
        </w:rPr>
        <w:t>i</w:t>
      </w:r>
      <w:r w:rsidRPr="00EF6F38">
        <w:rPr>
          <w:rFonts w:asciiTheme="minorHAnsi" w:hAnsiTheme="minorHAnsi" w:cstheme="minorHAnsi"/>
        </w:rPr>
        <w:t>a warunków</w:t>
      </w:r>
      <w:r w:rsidR="00826513">
        <w:rPr>
          <w:rFonts w:asciiTheme="minorHAnsi" w:hAnsiTheme="minorHAnsi" w:cstheme="minorHAnsi"/>
        </w:rPr>
        <w:t xml:space="preserve"> </w:t>
      </w:r>
      <w:r w:rsidR="00330F3D">
        <w:rPr>
          <w:rFonts w:asciiTheme="minorHAnsi" w:hAnsiTheme="minorHAnsi" w:cstheme="minorHAnsi"/>
        </w:rPr>
        <w:t>udzielenia</w:t>
      </w:r>
      <w:r w:rsidRPr="00EF6F38">
        <w:rPr>
          <w:rFonts w:asciiTheme="minorHAnsi" w:hAnsiTheme="minorHAnsi" w:cstheme="minorHAnsi"/>
        </w:rPr>
        <w:t xml:space="preserve"> </w:t>
      </w:r>
      <w:r w:rsidR="0004423B">
        <w:rPr>
          <w:rFonts w:asciiTheme="minorHAnsi" w:hAnsiTheme="minorHAnsi" w:cstheme="minorHAnsi"/>
        </w:rPr>
        <w:t>D</w:t>
      </w:r>
      <w:r w:rsidR="000B5DBF">
        <w:rPr>
          <w:rFonts w:asciiTheme="minorHAnsi" w:hAnsiTheme="minorHAnsi" w:cstheme="minorHAnsi"/>
        </w:rPr>
        <w:t>otacji</w:t>
      </w:r>
      <w:r w:rsidR="008962E3" w:rsidRPr="00EF6F38">
        <w:rPr>
          <w:rFonts w:asciiTheme="minorHAnsi" w:hAnsiTheme="minorHAnsi" w:cstheme="minorHAnsi"/>
        </w:rPr>
        <w:t>,</w:t>
      </w:r>
      <w:r w:rsidRPr="00EF6F38">
        <w:rPr>
          <w:rFonts w:asciiTheme="minorHAnsi" w:hAnsiTheme="minorHAnsi" w:cstheme="minorHAnsi"/>
        </w:rPr>
        <w:t xml:space="preserve"> </w:t>
      </w:r>
      <w:r w:rsidR="00A24278" w:rsidRPr="00EF6F38">
        <w:rPr>
          <w:rFonts w:asciiTheme="minorHAnsi" w:hAnsiTheme="minorHAnsi" w:cstheme="minorHAnsi"/>
        </w:rPr>
        <w:t xml:space="preserve">o których mowa w pkt. 1 </w:t>
      </w:r>
      <w:r w:rsidRPr="00EF6F38">
        <w:rPr>
          <w:rFonts w:asciiTheme="minorHAnsi" w:hAnsiTheme="minorHAnsi" w:cstheme="minorHAnsi"/>
        </w:rPr>
        <w:t xml:space="preserve">zostały określone w Załączniku nr 1 do </w:t>
      </w:r>
      <w:r w:rsidR="009F2BE5" w:rsidRPr="00EF6F38">
        <w:rPr>
          <w:rFonts w:asciiTheme="minorHAnsi" w:hAnsiTheme="minorHAnsi" w:cstheme="minorHAnsi"/>
        </w:rPr>
        <w:t>Karty Produktu</w:t>
      </w:r>
      <w:r w:rsidRPr="00EF6F38">
        <w:rPr>
          <w:rFonts w:asciiTheme="minorHAnsi" w:hAnsiTheme="minorHAnsi" w:cstheme="minorHAnsi"/>
        </w:rPr>
        <w:t xml:space="preserve">. </w:t>
      </w:r>
    </w:p>
    <w:p w14:paraId="3AF314EB" w14:textId="0755AC94" w:rsidR="00027378" w:rsidRPr="00EF6F38" w:rsidRDefault="00333757"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 xml:space="preserve">Typy </w:t>
      </w:r>
      <w:r w:rsidR="00027378" w:rsidRPr="00EF6F38">
        <w:rPr>
          <w:rFonts w:asciiTheme="minorHAnsi" w:hAnsiTheme="minorHAnsi" w:cstheme="minorHAnsi"/>
          <w:b/>
          <w:color w:val="auto"/>
          <w:sz w:val="24"/>
          <w:szCs w:val="24"/>
        </w:rPr>
        <w:t>Inwestycji Końcowych</w:t>
      </w:r>
      <w:r w:rsidR="00644BF0" w:rsidRPr="00EF6F38">
        <w:rPr>
          <w:rFonts w:asciiTheme="minorHAnsi" w:hAnsiTheme="minorHAnsi" w:cstheme="minorHAnsi"/>
          <w:b/>
          <w:color w:val="auto"/>
          <w:sz w:val="24"/>
          <w:szCs w:val="24"/>
        </w:rPr>
        <w:t xml:space="preserve"> możliwe do sfinansowania</w:t>
      </w:r>
    </w:p>
    <w:p w14:paraId="36552E0C" w14:textId="2C55B8E7" w:rsidR="002F624D" w:rsidRPr="00EF6F38" w:rsidRDefault="002F624D" w:rsidP="00E35A64">
      <w:pPr>
        <w:numPr>
          <w:ilvl w:val="0"/>
          <w:numId w:val="14"/>
        </w:numPr>
        <w:spacing w:after="120"/>
        <w:jc w:val="both"/>
        <w:rPr>
          <w:rFonts w:asciiTheme="minorHAnsi" w:hAnsiTheme="minorHAnsi" w:cstheme="minorHAnsi"/>
        </w:rPr>
      </w:pPr>
      <w:r w:rsidRPr="00EF6F38">
        <w:rPr>
          <w:rFonts w:asciiTheme="minorHAnsi" w:hAnsiTheme="minorHAnsi" w:cstheme="minorHAnsi"/>
        </w:rPr>
        <w:t xml:space="preserve">Celem </w:t>
      </w:r>
      <w:r w:rsidR="007D25D4" w:rsidRPr="00EF6F38">
        <w:rPr>
          <w:rFonts w:asciiTheme="minorHAnsi" w:hAnsiTheme="minorHAnsi" w:cstheme="minorHAnsi"/>
        </w:rPr>
        <w:t>pożyczki na inwestycje rozwojowe</w:t>
      </w:r>
      <w:r w:rsidRPr="00EF6F38">
        <w:rPr>
          <w:rFonts w:asciiTheme="minorHAnsi" w:hAnsiTheme="minorHAnsi" w:cstheme="minorHAnsi"/>
        </w:rPr>
        <w:t xml:space="preserve"> jest rozwój innowacyjności</w:t>
      </w:r>
      <w:r w:rsidR="001B2CA5" w:rsidRPr="00EF6F38">
        <w:rPr>
          <w:rFonts w:asciiTheme="minorHAnsi" w:hAnsiTheme="minorHAnsi" w:cstheme="minorHAnsi"/>
        </w:rPr>
        <w:t xml:space="preserve"> </w:t>
      </w:r>
      <w:r w:rsidR="00167503" w:rsidRPr="00EF6F38">
        <w:rPr>
          <w:rFonts w:asciiTheme="minorHAnsi" w:hAnsiTheme="minorHAnsi" w:cstheme="minorHAnsi"/>
        </w:rPr>
        <w:t>MŚP</w:t>
      </w:r>
      <w:r w:rsidR="009536E7" w:rsidRPr="00EF6F38">
        <w:rPr>
          <w:rFonts w:asciiTheme="minorHAnsi" w:hAnsiTheme="minorHAnsi" w:cstheme="minorHAnsi"/>
        </w:rPr>
        <w:t xml:space="preserve"> (</w:t>
      </w:r>
      <w:r w:rsidR="00167503" w:rsidRPr="00EF6F38">
        <w:rPr>
          <w:rFonts w:asciiTheme="minorHAnsi" w:hAnsiTheme="minorHAnsi" w:cstheme="minorHAnsi"/>
        </w:rPr>
        <w:t>innowacji produktowych, procesowych i organizacyjnych</w:t>
      </w:r>
      <w:r w:rsidR="009536E7" w:rsidRPr="00EF6F38">
        <w:rPr>
          <w:rFonts w:asciiTheme="minorHAnsi" w:hAnsiTheme="minorHAnsi" w:cstheme="minorHAnsi"/>
        </w:rPr>
        <w:t xml:space="preserve">, </w:t>
      </w:r>
      <w:r w:rsidR="00167503" w:rsidRPr="00EF6F38">
        <w:rPr>
          <w:rStyle w:val="Odwoaniedokomentarza"/>
          <w:rFonts w:asciiTheme="minorHAnsi" w:hAnsiTheme="minorHAnsi" w:cstheme="minorHAnsi"/>
          <w:sz w:val="22"/>
          <w:szCs w:val="22"/>
        </w:rPr>
        <w:t>t</w:t>
      </w:r>
      <w:r w:rsidR="00167503" w:rsidRPr="00EF6F38">
        <w:rPr>
          <w:rFonts w:asciiTheme="minorHAnsi" w:hAnsiTheme="minorHAnsi" w:cstheme="minorHAnsi"/>
        </w:rPr>
        <w:t>j. wdrożenie</w:t>
      </w:r>
      <w:r w:rsidR="001B2CA5" w:rsidRPr="00EF6F38">
        <w:rPr>
          <w:rFonts w:asciiTheme="minorHAnsi" w:hAnsiTheme="minorHAnsi" w:cstheme="minorHAnsi"/>
        </w:rPr>
        <w:t xml:space="preserve"> innowacji przynajmniej na poziomie przedsiębiorstwa</w:t>
      </w:r>
      <w:r w:rsidR="001B2CA5" w:rsidRPr="00EF6F38">
        <w:rPr>
          <w:rStyle w:val="Odwoanieprzypisudolnego"/>
          <w:rFonts w:asciiTheme="minorHAnsi" w:hAnsiTheme="minorHAnsi" w:cstheme="minorHAnsi"/>
        </w:rPr>
        <w:footnoteReference w:id="9"/>
      </w:r>
      <w:r w:rsidR="00167503" w:rsidRPr="00EF6F38">
        <w:rPr>
          <w:rFonts w:asciiTheme="minorHAnsi" w:hAnsiTheme="minorHAnsi" w:cstheme="minorHAnsi"/>
        </w:rPr>
        <w:t>, rozwiązań dotychczas niestosowanych w przedsiębiorstwie Wnioskodawcy</w:t>
      </w:r>
      <w:r w:rsidR="00AC7E54" w:rsidRPr="00EF6F38">
        <w:rPr>
          <w:rFonts w:asciiTheme="minorHAnsi" w:hAnsiTheme="minorHAnsi" w:cstheme="minorHAnsi"/>
        </w:rPr>
        <w:t xml:space="preserve"> </w:t>
      </w:r>
      <w:r w:rsidR="00C44C15" w:rsidRPr="00EF6F38">
        <w:rPr>
          <w:rFonts w:asciiTheme="minorHAnsi" w:hAnsiTheme="minorHAnsi" w:cstheme="minorHAnsi"/>
        </w:rPr>
        <w:t>i podniesienie  konkurencyjności poprzez inwestycje rozwojowe</w:t>
      </w:r>
      <w:r w:rsidRPr="00EF6F38">
        <w:rPr>
          <w:rFonts w:asciiTheme="minorHAnsi" w:hAnsiTheme="minorHAnsi" w:cstheme="minorHAnsi"/>
        </w:rPr>
        <w:t xml:space="preserve"> (Typ Inwestycji Końcowej).</w:t>
      </w:r>
      <w:r w:rsidR="00F31826" w:rsidRPr="00EF6F38">
        <w:rPr>
          <w:rFonts w:asciiTheme="minorHAnsi" w:hAnsiTheme="minorHAnsi" w:cstheme="minorHAnsi"/>
        </w:rPr>
        <w:t xml:space="preserve"> W wyniku realizacji inwestycji nastąpi wprowadzenie na rynek nowych lub ulepszonych produktów/usług lub zwiększy się skala działania przedsiębiorstwa oraz wzrost zasięgu ich oferty.</w:t>
      </w:r>
    </w:p>
    <w:p w14:paraId="55AA5CA0" w14:textId="7CAEF2C7" w:rsidR="00F647E2" w:rsidRPr="00EF6F38" w:rsidRDefault="00BF7041" w:rsidP="00E35A64">
      <w:pPr>
        <w:numPr>
          <w:ilvl w:val="0"/>
          <w:numId w:val="14"/>
        </w:numPr>
        <w:spacing w:after="120"/>
        <w:jc w:val="both"/>
        <w:rPr>
          <w:rFonts w:asciiTheme="minorHAnsi" w:eastAsia="Times New Roman" w:hAnsiTheme="minorHAnsi" w:cstheme="minorHAnsi"/>
          <w:iCs/>
          <w:lang w:eastAsia="pl-PL"/>
        </w:rPr>
      </w:pPr>
      <w:r w:rsidRPr="00EF6F38">
        <w:rPr>
          <w:rFonts w:asciiTheme="minorHAnsi" w:hAnsiTheme="minorHAnsi" w:cstheme="minorHAnsi"/>
        </w:rPr>
        <w:t>J</w:t>
      </w:r>
      <w:r w:rsidR="006151E2" w:rsidRPr="00EF6F38">
        <w:rPr>
          <w:rFonts w:asciiTheme="minorHAnsi" w:hAnsiTheme="minorHAnsi" w:cstheme="minorHAnsi"/>
        </w:rPr>
        <w:t xml:space="preserve">ednostkowe Pożyczki </w:t>
      </w:r>
      <w:r w:rsidR="00E9792C" w:rsidRPr="00EF6F38">
        <w:rPr>
          <w:rFonts w:asciiTheme="minorHAnsi" w:hAnsiTheme="minorHAnsi" w:cstheme="minorHAnsi"/>
        </w:rPr>
        <w:t>mogą</w:t>
      </w:r>
      <w:r w:rsidR="00E9792C" w:rsidRPr="00EF6F38">
        <w:rPr>
          <w:rFonts w:asciiTheme="minorHAnsi" w:eastAsia="Times New Roman" w:hAnsiTheme="minorHAnsi" w:cstheme="minorHAnsi"/>
          <w:iCs/>
          <w:lang w:eastAsia="pl-PL"/>
        </w:rPr>
        <w:t xml:space="preserve"> finansować następujące </w:t>
      </w:r>
      <w:r w:rsidR="00A144E9" w:rsidRPr="00EF6F38">
        <w:rPr>
          <w:rFonts w:asciiTheme="minorHAnsi" w:eastAsia="Times New Roman" w:hAnsiTheme="minorHAnsi" w:cstheme="minorHAnsi"/>
          <w:iCs/>
          <w:lang w:eastAsia="pl-PL"/>
        </w:rPr>
        <w:t>rodzaje wydatków</w:t>
      </w:r>
      <w:r w:rsidR="00B049DB" w:rsidRPr="00EF6F38">
        <w:rPr>
          <w:rFonts w:asciiTheme="minorHAnsi" w:eastAsia="Times New Roman" w:hAnsiTheme="minorHAnsi" w:cstheme="minorHAnsi"/>
          <w:iCs/>
          <w:lang w:eastAsia="pl-PL"/>
        </w:rPr>
        <w:t>:</w:t>
      </w:r>
    </w:p>
    <w:p w14:paraId="68D02A2F" w14:textId="77777777" w:rsidR="00F31826" w:rsidRPr="00EF6F38" w:rsidRDefault="00F31826" w:rsidP="00E35A64">
      <w:pPr>
        <w:pStyle w:val="Akapitzlist"/>
        <w:numPr>
          <w:ilvl w:val="0"/>
          <w:numId w:val="12"/>
        </w:numPr>
        <w:spacing w:after="120"/>
        <w:ind w:left="782" w:hanging="357"/>
        <w:rPr>
          <w:rFonts w:asciiTheme="minorHAnsi" w:eastAsia="Times New Roman" w:hAnsiTheme="minorHAnsi" w:cstheme="minorHAnsi"/>
          <w:iCs/>
          <w:lang w:eastAsia="pl-PL"/>
        </w:rPr>
      </w:pPr>
      <w:r w:rsidRPr="00EF6F38">
        <w:rPr>
          <w:rFonts w:asciiTheme="minorHAnsi" w:eastAsia="Times New Roman" w:hAnsiTheme="minorHAnsi" w:cstheme="minorHAnsi"/>
          <w:iCs/>
          <w:lang w:eastAsia="pl-PL"/>
        </w:rPr>
        <w:t>nabycie materiałów i robót budowlanych w związku z budową, rozbudową, przebudową przedsiębiorstwa,</w:t>
      </w:r>
    </w:p>
    <w:p w14:paraId="2834F748" w14:textId="29DE7C58" w:rsidR="00AC7E54" w:rsidRPr="00EF6F38" w:rsidRDefault="001122DD" w:rsidP="00E35A64">
      <w:pPr>
        <w:numPr>
          <w:ilvl w:val="0"/>
          <w:numId w:val="12"/>
        </w:numPr>
        <w:spacing w:after="120"/>
        <w:jc w:val="both"/>
        <w:rPr>
          <w:rFonts w:asciiTheme="minorHAnsi" w:hAnsiTheme="minorHAnsi" w:cstheme="minorHAnsi"/>
        </w:rPr>
      </w:pPr>
      <w:r w:rsidRPr="00EF6F38">
        <w:rPr>
          <w:rFonts w:asciiTheme="minorHAnsi" w:hAnsiTheme="minorHAnsi" w:cstheme="minorHAnsi"/>
        </w:rPr>
        <w:t xml:space="preserve">zakup </w:t>
      </w:r>
      <w:r w:rsidR="00AC7E54" w:rsidRPr="00EF6F38">
        <w:rPr>
          <w:rFonts w:asciiTheme="minorHAnsi" w:hAnsiTheme="minorHAnsi" w:cstheme="minorHAnsi"/>
        </w:rPr>
        <w:t>maszyn</w:t>
      </w:r>
      <w:r w:rsidR="00FA0E82" w:rsidRPr="00EF6F38">
        <w:rPr>
          <w:rFonts w:asciiTheme="minorHAnsi" w:hAnsiTheme="minorHAnsi" w:cstheme="minorHAnsi"/>
        </w:rPr>
        <w:t>,</w:t>
      </w:r>
      <w:r w:rsidR="00AC7E54" w:rsidRPr="00EF6F38">
        <w:rPr>
          <w:rFonts w:asciiTheme="minorHAnsi" w:hAnsiTheme="minorHAnsi" w:cstheme="minorHAnsi"/>
        </w:rPr>
        <w:t xml:space="preserve"> </w:t>
      </w:r>
      <w:r w:rsidR="00FA0E82" w:rsidRPr="00EF6F38">
        <w:rPr>
          <w:rFonts w:asciiTheme="minorHAnsi" w:hAnsiTheme="minorHAnsi" w:cstheme="minorHAnsi"/>
        </w:rPr>
        <w:t xml:space="preserve">urządzeń, </w:t>
      </w:r>
      <w:r w:rsidR="00AC7E54" w:rsidRPr="00EF6F38">
        <w:rPr>
          <w:rFonts w:asciiTheme="minorHAnsi" w:hAnsiTheme="minorHAnsi" w:cstheme="minorHAnsi"/>
        </w:rPr>
        <w:t xml:space="preserve">i innych środków trwałych, </w:t>
      </w:r>
    </w:p>
    <w:p w14:paraId="02C96DCB" w14:textId="4DF0B989" w:rsidR="00F31826" w:rsidRPr="00EF6F38" w:rsidRDefault="00F31826" w:rsidP="00E35A64">
      <w:pPr>
        <w:numPr>
          <w:ilvl w:val="0"/>
          <w:numId w:val="12"/>
        </w:numPr>
        <w:spacing w:after="120"/>
        <w:jc w:val="both"/>
        <w:rPr>
          <w:rFonts w:asciiTheme="minorHAnsi" w:hAnsiTheme="minorHAnsi" w:cstheme="minorHAnsi"/>
        </w:rPr>
      </w:pPr>
      <w:r w:rsidRPr="00EF6F38">
        <w:rPr>
          <w:rFonts w:asciiTheme="minorHAnsi" w:hAnsiTheme="minorHAnsi" w:cstheme="minorHAnsi"/>
        </w:rPr>
        <w:t>nabycie wartości niematerialnych i prawnych,</w:t>
      </w:r>
    </w:p>
    <w:p w14:paraId="7E3B2675" w14:textId="2E227BAA" w:rsidR="00B049DB" w:rsidRPr="00EF6F38" w:rsidRDefault="00FA0E82" w:rsidP="00E35A64">
      <w:pPr>
        <w:numPr>
          <w:ilvl w:val="0"/>
          <w:numId w:val="12"/>
        </w:numPr>
        <w:spacing w:after="120"/>
        <w:jc w:val="both"/>
        <w:rPr>
          <w:rFonts w:asciiTheme="minorHAnsi" w:hAnsiTheme="minorHAnsi" w:cstheme="minorHAnsi"/>
        </w:rPr>
      </w:pPr>
      <w:r w:rsidRPr="00EF6F38">
        <w:rPr>
          <w:rFonts w:asciiTheme="minorHAnsi" w:hAnsiTheme="minorHAnsi" w:cstheme="minorHAnsi"/>
        </w:rPr>
        <w:t xml:space="preserve">nabycie </w:t>
      </w:r>
      <w:r w:rsidR="00AC7E54" w:rsidRPr="00EF6F38">
        <w:rPr>
          <w:rFonts w:asciiTheme="minorHAnsi" w:hAnsiTheme="minorHAnsi" w:cstheme="minorHAnsi"/>
        </w:rPr>
        <w:t>technologi</w:t>
      </w:r>
      <w:r w:rsidRPr="00EF6F38">
        <w:rPr>
          <w:rFonts w:asciiTheme="minorHAnsi" w:hAnsiTheme="minorHAnsi" w:cstheme="minorHAnsi"/>
        </w:rPr>
        <w:t>i</w:t>
      </w:r>
      <w:r w:rsidR="00AC7E54" w:rsidRPr="00EF6F38">
        <w:rPr>
          <w:rFonts w:asciiTheme="minorHAnsi" w:hAnsiTheme="minorHAnsi" w:cstheme="minorHAnsi"/>
        </w:rPr>
        <w:t xml:space="preserve"> </w:t>
      </w:r>
      <w:r w:rsidR="00D162B8" w:rsidRPr="00EF6F38">
        <w:rPr>
          <w:rFonts w:asciiTheme="minorHAnsi" w:hAnsiTheme="minorHAnsi" w:cstheme="minorHAnsi"/>
        </w:rPr>
        <w:t xml:space="preserve">w tym technologii </w:t>
      </w:r>
      <w:r w:rsidR="00AC7E54" w:rsidRPr="00EF6F38">
        <w:rPr>
          <w:rFonts w:asciiTheme="minorHAnsi" w:hAnsiTheme="minorHAnsi" w:cstheme="minorHAnsi"/>
        </w:rPr>
        <w:t>informacyjno-komunikacyjne (TIK</w:t>
      </w:r>
      <w:r w:rsidR="001122DD" w:rsidRPr="00EF6F38">
        <w:rPr>
          <w:rFonts w:asciiTheme="minorHAnsi" w:hAnsiTheme="minorHAnsi" w:cstheme="minorHAnsi"/>
        </w:rPr>
        <w:t>)</w:t>
      </w:r>
      <w:r w:rsidR="00F31826" w:rsidRPr="00EF6F38">
        <w:rPr>
          <w:rFonts w:asciiTheme="minorHAnsi" w:hAnsiTheme="minorHAnsi" w:cstheme="minorHAnsi"/>
        </w:rPr>
        <w:t>,</w:t>
      </w:r>
    </w:p>
    <w:p w14:paraId="0943E879" w14:textId="248583F1" w:rsidR="00F31826" w:rsidRPr="00EF6F38" w:rsidRDefault="00F31826" w:rsidP="00F106BC">
      <w:pPr>
        <w:pStyle w:val="Akapitzlist"/>
        <w:numPr>
          <w:ilvl w:val="0"/>
          <w:numId w:val="12"/>
        </w:numPr>
        <w:spacing w:after="120"/>
        <w:ind w:left="782" w:hanging="357"/>
        <w:contextualSpacing w:val="0"/>
        <w:jc w:val="both"/>
        <w:rPr>
          <w:rFonts w:asciiTheme="minorHAnsi" w:hAnsiTheme="minorHAnsi" w:cstheme="minorHAnsi"/>
        </w:rPr>
      </w:pPr>
      <w:r w:rsidRPr="00EF6F38">
        <w:rPr>
          <w:rFonts w:asciiTheme="minorHAnsi" w:hAnsiTheme="minorHAnsi" w:cstheme="minorHAnsi"/>
        </w:rPr>
        <w:t>zakup nieruchomości na cele własnej działalności gospodarczej w zakresie produkcji lub   świadczenia usług</w:t>
      </w:r>
      <w:r w:rsidRPr="00EF6F38">
        <w:rPr>
          <w:rStyle w:val="Odwoanieprzypisudolnego"/>
          <w:rFonts w:asciiTheme="minorHAnsi" w:hAnsiTheme="minorHAnsi" w:cstheme="minorHAnsi"/>
        </w:rPr>
        <w:footnoteReference w:id="10"/>
      </w:r>
      <w:r w:rsidRPr="00EF6F38">
        <w:rPr>
          <w:rFonts w:asciiTheme="minorHAnsi" w:hAnsiTheme="minorHAnsi" w:cstheme="minorHAnsi"/>
        </w:rPr>
        <w:t xml:space="preserve">, z zastrzeżeniem części </w:t>
      </w:r>
      <w:r w:rsidR="004C492E" w:rsidRPr="00EF6F38">
        <w:rPr>
          <w:rFonts w:asciiTheme="minorHAnsi" w:hAnsiTheme="minorHAnsi" w:cstheme="minorHAnsi"/>
        </w:rPr>
        <w:t>I</w:t>
      </w:r>
      <w:r w:rsidRPr="00EF6F38">
        <w:rPr>
          <w:rFonts w:asciiTheme="minorHAnsi" w:hAnsiTheme="minorHAnsi" w:cstheme="minorHAnsi"/>
        </w:rPr>
        <w:t xml:space="preserve">V pkt 1 </w:t>
      </w:r>
      <w:proofErr w:type="spellStart"/>
      <w:r w:rsidRPr="00EF6F38">
        <w:rPr>
          <w:rFonts w:asciiTheme="minorHAnsi" w:hAnsiTheme="minorHAnsi" w:cstheme="minorHAnsi"/>
        </w:rPr>
        <w:t>ppkt</w:t>
      </w:r>
      <w:proofErr w:type="spellEnd"/>
      <w:r w:rsidRPr="00EF6F38">
        <w:rPr>
          <w:rFonts w:asciiTheme="minorHAnsi" w:hAnsiTheme="minorHAnsi" w:cstheme="minorHAnsi"/>
        </w:rPr>
        <w:t>. 8, 9,</w:t>
      </w:r>
    </w:p>
    <w:p w14:paraId="7B0BADE3" w14:textId="3A31B9FC" w:rsidR="003E167A" w:rsidRPr="00EF6F38" w:rsidRDefault="00B82DF6" w:rsidP="00E35A64">
      <w:pPr>
        <w:pStyle w:val="Akapitzlist"/>
        <w:numPr>
          <w:ilvl w:val="0"/>
          <w:numId w:val="12"/>
        </w:numPr>
        <w:spacing w:after="120"/>
        <w:ind w:left="782" w:hanging="357"/>
        <w:contextualSpacing w:val="0"/>
        <w:rPr>
          <w:rFonts w:asciiTheme="minorHAnsi" w:hAnsiTheme="minorHAnsi" w:cstheme="minorHAnsi"/>
        </w:rPr>
      </w:pPr>
      <w:r w:rsidRPr="00EF6F38">
        <w:rPr>
          <w:rFonts w:asciiTheme="minorHAnsi" w:hAnsiTheme="minorHAnsi" w:cstheme="minorHAnsi"/>
        </w:rPr>
        <w:t>zakup</w:t>
      </w:r>
      <w:r w:rsidR="00FA5760" w:rsidRPr="00EF6F38">
        <w:rPr>
          <w:rFonts w:asciiTheme="minorHAnsi" w:hAnsiTheme="minorHAnsi" w:cstheme="minorHAnsi"/>
        </w:rPr>
        <w:t xml:space="preserve"> gruntów niezabudowanych i zabudowanych w ramach finansowanej inwestycji możliwe jest do wysokości 10% kwoty pożyczki</w:t>
      </w:r>
      <w:r w:rsidR="004C492E" w:rsidRPr="00EF6F38">
        <w:rPr>
          <w:rFonts w:asciiTheme="minorHAnsi" w:hAnsiTheme="minorHAnsi" w:cstheme="minorHAnsi"/>
        </w:rPr>
        <w:t>,</w:t>
      </w:r>
    </w:p>
    <w:p w14:paraId="06095783" w14:textId="20B8DBFB" w:rsidR="003E167A" w:rsidRPr="00EF6F38" w:rsidRDefault="003E167A" w:rsidP="00E35A64">
      <w:pPr>
        <w:pStyle w:val="Akapitzlist"/>
        <w:numPr>
          <w:ilvl w:val="0"/>
          <w:numId w:val="12"/>
        </w:numPr>
        <w:spacing w:after="120"/>
        <w:ind w:left="782" w:hanging="357"/>
        <w:rPr>
          <w:rFonts w:asciiTheme="minorHAnsi" w:hAnsiTheme="minorHAnsi" w:cstheme="minorHAnsi"/>
        </w:rPr>
      </w:pPr>
      <w:r w:rsidRPr="00EF6F38">
        <w:rPr>
          <w:rFonts w:asciiTheme="minorHAnsi" w:hAnsiTheme="minorHAnsi" w:cstheme="minorHAnsi"/>
        </w:rPr>
        <w:t>wyposażenie nowych lub doposażenie istniejących miejsc pracy</w:t>
      </w:r>
      <w:r w:rsidR="004C492E" w:rsidRPr="00EF6F38">
        <w:rPr>
          <w:rFonts w:asciiTheme="minorHAnsi" w:hAnsiTheme="minorHAnsi" w:cstheme="minorHAnsi"/>
        </w:rPr>
        <w:t>.</w:t>
      </w:r>
    </w:p>
    <w:p w14:paraId="7351C2DF" w14:textId="75DCD5BD" w:rsidR="00B049DB" w:rsidRPr="00EF6F38" w:rsidRDefault="00577D94" w:rsidP="00E35A64">
      <w:pPr>
        <w:numPr>
          <w:ilvl w:val="0"/>
          <w:numId w:val="14"/>
        </w:numPr>
        <w:spacing w:after="120"/>
        <w:jc w:val="both"/>
        <w:rPr>
          <w:rFonts w:asciiTheme="minorHAnsi" w:hAnsiTheme="minorHAnsi" w:cstheme="minorHAnsi"/>
        </w:rPr>
      </w:pPr>
      <w:r w:rsidRPr="00EF6F38">
        <w:rPr>
          <w:rFonts w:asciiTheme="minorHAnsi" w:hAnsiTheme="minorHAnsi" w:cstheme="minorHAnsi"/>
        </w:rPr>
        <w:t xml:space="preserve">Jednostkowe Pożyczki </w:t>
      </w:r>
      <w:r w:rsidR="006C6A38" w:rsidRPr="00EF6F38">
        <w:rPr>
          <w:rFonts w:asciiTheme="minorHAnsi" w:hAnsiTheme="minorHAnsi" w:cstheme="minorHAnsi"/>
        </w:rPr>
        <w:t>finansują</w:t>
      </w:r>
      <w:r w:rsidRPr="00EF6F38">
        <w:rPr>
          <w:rFonts w:asciiTheme="minorHAnsi" w:hAnsiTheme="minorHAnsi" w:cstheme="minorHAnsi"/>
        </w:rPr>
        <w:t xml:space="preserve"> Inwestycje Końcowe zlokalizowane na terenie województwa </w:t>
      </w:r>
      <w:r w:rsidR="0098056F" w:rsidRPr="00EF6F38">
        <w:rPr>
          <w:rFonts w:asciiTheme="minorHAnsi" w:hAnsiTheme="minorHAnsi" w:cstheme="minorHAnsi"/>
        </w:rPr>
        <w:t xml:space="preserve">warmińsko-mazurskiego </w:t>
      </w:r>
      <w:r w:rsidR="003244B8" w:rsidRPr="00EF6F38">
        <w:rPr>
          <w:rFonts w:asciiTheme="minorHAnsi" w:hAnsiTheme="minorHAnsi" w:cstheme="minorHAnsi"/>
        </w:rPr>
        <w:t>przy czym lokalizacja siedziby/oddziału</w:t>
      </w:r>
      <w:r w:rsidR="001917FC" w:rsidRPr="00EF6F38">
        <w:rPr>
          <w:rFonts w:asciiTheme="minorHAnsi" w:hAnsiTheme="minorHAnsi" w:cstheme="minorHAnsi"/>
        </w:rPr>
        <w:t xml:space="preserve"> firmy</w:t>
      </w:r>
      <w:r w:rsidR="003244B8" w:rsidRPr="00EF6F38">
        <w:rPr>
          <w:rFonts w:asciiTheme="minorHAnsi" w:hAnsiTheme="minorHAnsi" w:cstheme="minorHAnsi"/>
        </w:rPr>
        <w:t xml:space="preserve"> musi znajdować się na terenie województwa warmińsko-mazurskiego.</w:t>
      </w:r>
    </w:p>
    <w:p w14:paraId="4CACA3CB" w14:textId="1E189139" w:rsidR="00F71681" w:rsidRPr="00EF6F38" w:rsidRDefault="00504D14" w:rsidP="00E35A64">
      <w:pPr>
        <w:numPr>
          <w:ilvl w:val="0"/>
          <w:numId w:val="14"/>
        </w:numPr>
        <w:spacing w:before="100" w:beforeAutospacing="1" w:after="120"/>
        <w:jc w:val="both"/>
        <w:rPr>
          <w:rFonts w:asciiTheme="minorHAnsi" w:hAnsiTheme="minorHAnsi" w:cstheme="minorHAnsi"/>
        </w:rPr>
      </w:pPr>
      <w:r w:rsidRPr="00EF6F38">
        <w:rPr>
          <w:rFonts w:asciiTheme="minorHAnsi" w:hAnsiTheme="minorHAnsi" w:cstheme="minorHAnsi"/>
        </w:rPr>
        <w:t xml:space="preserve">Jednostkowe Pożyczki udzielane są wyłącznie na te elementy Inwestycji Końcowej, które nie są fizycznie ukończone lub w pełni wdrożone na dzień podjęcia decyzji inwestycyjnej przez </w:t>
      </w:r>
      <w:r w:rsidR="004C492E" w:rsidRPr="00EF6F38">
        <w:rPr>
          <w:rFonts w:asciiTheme="minorHAnsi" w:hAnsiTheme="minorHAnsi" w:cstheme="minorHAnsi"/>
        </w:rPr>
        <w:t>Pożyczkodawcę</w:t>
      </w:r>
      <w:r w:rsidRPr="00EF6F38">
        <w:rPr>
          <w:rFonts w:asciiTheme="minorHAnsi" w:hAnsiTheme="minorHAnsi" w:cstheme="minorHAnsi"/>
        </w:rPr>
        <w:t>. Pod pojęciem decyzji inwestycyjnej należy rozumieć okoliczności wskazane w sekcji 3.9.2 pkt. 2 Wytycznych dotyczących kwalifikowalności wydatków</w:t>
      </w:r>
      <w:r w:rsidR="006558FF" w:rsidRPr="00EF6F38">
        <w:rPr>
          <w:rFonts w:asciiTheme="minorHAnsi" w:hAnsiTheme="minorHAnsi" w:cstheme="minorHAnsi"/>
        </w:rPr>
        <w:t xml:space="preserve"> na lata 2021 - 2027</w:t>
      </w:r>
      <w:r w:rsidRPr="00EF6F38">
        <w:rPr>
          <w:rFonts w:asciiTheme="minorHAnsi" w:hAnsiTheme="minorHAnsi" w:cstheme="minorHAnsi"/>
        </w:rPr>
        <w:t xml:space="preserve">. </w:t>
      </w:r>
    </w:p>
    <w:p w14:paraId="16147EE9" w14:textId="2FC305D0" w:rsidR="001B0FAC" w:rsidRPr="00EF6F38" w:rsidRDefault="003E789C" w:rsidP="00E35A64">
      <w:pPr>
        <w:numPr>
          <w:ilvl w:val="0"/>
          <w:numId w:val="14"/>
        </w:numPr>
        <w:spacing w:before="100" w:beforeAutospacing="1" w:after="120"/>
        <w:jc w:val="both"/>
        <w:rPr>
          <w:rFonts w:asciiTheme="minorHAnsi" w:hAnsiTheme="minorHAnsi" w:cstheme="minorHAnsi"/>
          <w:iCs/>
          <w:lang w:eastAsia="pl-PL"/>
        </w:rPr>
      </w:pPr>
      <w:r w:rsidRPr="00EF6F38">
        <w:rPr>
          <w:rFonts w:asciiTheme="minorHAnsi" w:hAnsiTheme="minorHAnsi" w:cstheme="minorHAnsi"/>
        </w:rPr>
        <w:lastRenderedPageBreak/>
        <w:t>D</w:t>
      </w:r>
      <w:r w:rsidR="005F757E" w:rsidRPr="00EF6F38">
        <w:rPr>
          <w:rFonts w:asciiTheme="minorHAnsi" w:hAnsiTheme="minorHAnsi" w:cstheme="minorHAnsi"/>
        </w:rPr>
        <w:t xml:space="preserve">okumentacja aplikacyjna złożona przez </w:t>
      </w:r>
      <w:r w:rsidR="0093346D" w:rsidRPr="00EF6F38">
        <w:rPr>
          <w:rFonts w:asciiTheme="minorHAnsi" w:hAnsiTheme="minorHAnsi" w:cstheme="minorHAnsi"/>
        </w:rPr>
        <w:t>podmiot ubiegający</w:t>
      </w:r>
      <w:r w:rsidR="005F757E" w:rsidRPr="00EF6F38">
        <w:rPr>
          <w:rFonts w:asciiTheme="minorHAnsi" w:hAnsiTheme="minorHAnsi" w:cstheme="minorHAnsi"/>
        </w:rPr>
        <w:t xml:space="preserve"> się o Jednostkową Pożyczkę, w tym wniosek</w:t>
      </w:r>
      <w:r w:rsidR="00950B5D" w:rsidRPr="00EF6F38">
        <w:rPr>
          <w:rFonts w:asciiTheme="minorHAnsi" w:hAnsiTheme="minorHAnsi" w:cstheme="minorHAnsi"/>
        </w:rPr>
        <w:t xml:space="preserve"> o udzielenie </w:t>
      </w:r>
      <w:r w:rsidR="00545F48" w:rsidRPr="00EF6F38">
        <w:rPr>
          <w:rFonts w:asciiTheme="minorHAnsi" w:hAnsiTheme="minorHAnsi" w:cstheme="minorHAnsi"/>
        </w:rPr>
        <w:t>Jednostkowej P</w:t>
      </w:r>
      <w:r w:rsidR="007462EC" w:rsidRPr="00EF6F38">
        <w:rPr>
          <w:rFonts w:asciiTheme="minorHAnsi" w:hAnsiTheme="minorHAnsi" w:cstheme="minorHAnsi"/>
        </w:rPr>
        <w:t>ożyczki</w:t>
      </w:r>
      <w:r w:rsidR="00FC0B52" w:rsidRPr="00EF6F38">
        <w:rPr>
          <w:rFonts w:asciiTheme="minorHAnsi" w:hAnsiTheme="minorHAnsi" w:cstheme="minorHAnsi"/>
        </w:rPr>
        <w:t xml:space="preserve"> (dalej: Wniosek)</w:t>
      </w:r>
      <w:r w:rsidR="005F757E" w:rsidRPr="00EF6F38">
        <w:rPr>
          <w:rFonts w:asciiTheme="minorHAnsi" w:hAnsiTheme="minorHAnsi" w:cstheme="minorHAnsi"/>
        </w:rPr>
        <w:t>, biznesplan lub dokument równoważny</w:t>
      </w:r>
      <w:r w:rsidR="000830D5" w:rsidRPr="00EF6F38">
        <w:rPr>
          <w:rFonts w:asciiTheme="minorHAnsi" w:hAnsiTheme="minorHAnsi" w:cstheme="minorHAnsi"/>
        </w:rPr>
        <w:t>,</w:t>
      </w:r>
      <w:r w:rsidRPr="00EF6F38">
        <w:rPr>
          <w:rFonts w:asciiTheme="minorHAnsi" w:hAnsiTheme="minorHAnsi" w:cstheme="minorHAnsi"/>
        </w:rPr>
        <w:t xml:space="preserve"> powinna</w:t>
      </w:r>
      <w:r w:rsidR="00C875B5" w:rsidRPr="00EF6F38">
        <w:rPr>
          <w:rFonts w:asciiTheme="minorHAnsi" w:hAnsiTheme="minorHAnsi" w:cstheme="minorHAnsi"/>
        </w:rPr>
        <w:t xml:space="preserve"> jednoznacznie wskazywać na typ</w:t>
      </w:r>
      <w:r w:rsidR="00F76C5D" w:rsidRPr="00EF6F38">
        <w:rPr>
          <w:rFonts w:asciiTheme="minorHAnsi" w:hAnsiTheme="minorHAnsi" w:cstheme="minorHAnsi"/>
        </w:rPr>
        <w:t xml:space="preserve"> </w:t>
      </w:r>
      <w:r w:rsidR="00C875B5" w:rsidRPr="00EF6F38">
        <w:rPr>
          <w:rFonts w:asciiTheme="minorHAnsi" w:hAnsiTheme="minorHAnsi" w:cstheme="minorHAnsi"/>
        </w:rPr>
        <w:t>Inwestycji Końcowej będąc</w:t>
      </w:r>
      <w:r w:rsidR="00000564" w:rsidRPr="00EF6F38">
        <w:rPr>
          <w:rFonts w:asciiTheme="minorHAnsi" w:hAnsiTheme="minorHAnsi" w:cstheme="minorHAnsi"/>
        </w:rPr>
        <w:t>y</w:t>
      </w:r>
      <w:r w:rsidR="00C875B5" w:rsidRPr="00EF6F38">
        <w:rPr>
          <w:rFonts w:asciiTheme="minorHAnsi" w:hAnsiTheme="minorHAnsi" w:cstheme="minorHAnsi"/>
        </w:rPr>
        <w:t xml:space="preserve"> przedmiotem finansowania oraz powinna</w:t>
      </w:r>
      <w:r w:rsidR="009C0963" w:rsidRPr="00EF6F38">
        <w:rPr>
          <w:rFonts w:asciiTheme="minorHAnsi" w:hAnsiTheme="minorHAnsi" w:cstheme="minorHAnsi"/>
        </w:rPr>
        <w:t xml:space="preserve"> być przygotowana w sposób umożliwiający</w:t>
      </w:r>
      <w:r w:rsidR="00974413" w:rsidRPr="00EF6F38">
        <w:rPr>
          <w:rFonts w:asciiTheme="minorHAnsi" w:hAnsiTheme="minorHAnsi" w:cstheme="minorHAnsi"/>
        </w:rPr>
        <w:t xml:space="preserve"> </w:t>
      </w:r>
      <w:r w:rsidR="004C492E" w:rsidRPr="00EF6F38">
        <w:rPr>
          <w:rFonts w:asciiTheme="minorHAnsi" w:hAnsiTheme="minorHAnsi" w:cstheme="minorHAnsi"/>
        </w:rPr>
        <w:t>Pożyczkodawcy</w:t>
      </w:r>
      <w:r w:rsidR="009C0963" w:rsidRPr="00EF6F38">
        <w:rPr>
          <w:rFonts w:asciiTheme="minorHAnsi" w:hAnsiTheme="minorHAnsi" w:cstheme="minorHAnsi"/>
        </w:rPr>
        <w:t xml:space="preserve"> </w:t>
      </w:r>
      <w:r w:rsidR="00974413" w:rsidRPr="00EF6F38">
        <w:rPr>
          <w:rFonts w:asciiTheme="minorHAnsi" w:hAnsiTheme="minorHAnsi" w:cstheme="minorHAnsi"/>
        </w:rPr>
        <w:t xml:space="preserve">dokonanie oceny </w:t>
      </w:r>
      <w:r w:rsidR="009A29E0" w:rsidRPr="00EF6F38">
        <w:rPr>
          <w:rFonts w:asciiTheme="minorHAnsi" w:hAnsiTheme="minorHAnsi" w:cstheme="minorHAnsi"/>
        </w:rPr>
        <w:t xml:space="preserve">zgodności </w:t>
      </w:r>
      <w:r w:rsidR="00172E83" w:rsidRPr="00EF6F38">
        <w:rPr>
          <w:rFonts w:asciiTheme="minorHAnsi" w:hAnsiTheme="minorHAnsi" w:cstheme="minorHAnsi"/>
        </w:rPr>
        <w:t xml:space="preserve">przedmiotu i </w:t>
      </w:r>
      <w:r w:rsidR="00974413" w:rsidRPr="00EF6F38">
        <w:rPr>
          <w:rFonts w:asciiTheme="minorHAnsi" w:hAnsiTheme="minorHAnsi" w:cstheme="minorHAnsi"/>
        </w:rPr>
        <w:t>cel</w:t>
      </w:r>
      <w:r w:rsidR="009A29E0" w:rsidRPr="00EF6F38">
        <w:rPr>
          <w:rFonts w:asciiTheme="minorHAnsi" w:hAnsiTheme="minorHAnsi" w:cstheme="minorHAnsi"/>
        </w:rPr>
        <w:t>u</w:t>
      </w:r>
      <w:r w:rsidR="00974413" w:rsidRPr="00EF6F38">
        <w:rPr>
          <w:rFonts w:asciiTheme="minorHAnsi" w:hAnsiTheme="minorHAnsi" w:cstheme="minorHAnsi"/>
        </w:rPr>
        <w:t xml:space="preserve"> planowanej </w:t>
      </w:r>
      <w:r w:rsidR="0063616F" w:rsidRPr="00EF6F38">
        <w:rPr>
          <w:rFonts w:asciiTheme="minorHAnsi" w:hAnsiTheme="minorHAnsi" w:cstheme="minorHAnsi"/>
        </w:rPr>
        <w:t>I</w:t>
      </w:r>
      <w:r w:rsidR="00974413" w:rsidRPr="00EF6F38">
        <w:rPr>
          <w:rFonts w:asciiTheme="minorHAnsi" w:hAnsiTheme="minorHAnsi" w:cstheme="minorHAnsi"/>
        </w:rPr>
        <w:t>nwestycji</w:t>
      </w:r>
      <w:r w:rsidR="0063616F" w:rsidRPr="00EF6F38">
        <w:rPr>
          <w:rFonts w:asciiTheme="minorHAnsi" w:hAnsiTheme="minorHAnsi" w:cstheme="minorHAnsi"/>
        </w:rPr>
        <w:t xml:space="preserve"> Końcowej</w:t>
      </w:r>
      <w:r w:rsidR="009A29E0" w:rsidRPr="00EF6F38">
        <w:rPr>
          <w:rFonts w:asciiTheme="minorHAnsi" w:hAnsiTheme="minorHAnsi" w:cstheme="minorHAnsi"/>
        </w:rPr>
        <w:t xml:space="preserve"> z </w:t>
      </w:r>
      <w:r w:rsidR="00064EE7" w:rsidRPr="00EF6F38">
        <w:rPr>
          <w:rFonts w:asciiTheme="minorHAnsi" w:hAnsiTheme="minorHAnsi" w:cstheme="minorHAnsi"/>
        </w:rPr>
        <w:t xml:space="preserve">tym </w:t>
      </w:r>
      <w:r w:rsidR="009A29E0" w:rsidRPr="00EF6F38">
        <w:rPr>
          <w:rFonts w:asciiTheme="minorHAnsi" w:hAnsiTheme="minorHAnsi" w:cstheme="minorHAnsi"/>
        </w:rPr>
        <w:t>typem</w:t>
      </w:r>
      <w:r w:rsidR="00476EDF" w:rsidRPr="00EF6F38">
        <w:rPr>
          <w:rFonts w:asciiTheme="minorHAnsi" w:hAnsiTheme="minorHAnsi" w:cstheme="minorHAnsi"/>
        </w:rPr>
        <w:t>.</w:t>
      </w:r>
    </w:p>
    <w:p w14:paraId="2B557428" w14:textId="17BB4C0B" w:rsidR="003F2A2A" w:rsidRPr="00EF6F38" w:rsidRDefault="003F2A2A" w:rsidP="00E35A64">
      <w:pPr>
        <w:numPr>
          <w:ilvl w:val="0"/>
          <w:numId w:val="14"/>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P</w:t>
      </w:r>
      <w:r w:rsidR="00E00389" w:rsidRPr="00EF6F38">
        <w:rPr>
          <w:rFonts w:asciiTheme="minorHAnsi" w:hAnsiTheme="minorHAnsi" w:cstheme="minorHAnsi"/>
          <w:iCs/>
          <w:lang w:eastAsia="pl-PL"/>
        </w:rPr>
        <w:t>ożyczkodawca</w:t>
      </w:r>
      <w:r w:rsidRPr="00EF6F38">
        <w:rPr>
          <w:rFonts w:asciiTheme="minorHAnsi" w:hAnsiTheme="minorHAnsi" w:cstheme="minorHAnsi"/>
          <w:iCs/>
          <w:lang w:eastAsia="pl-PL"/>
        </w:rPr>
        <w:t xml:space="preserve"> zapewnia, aby</w:t>
      </w:r>
      <w:r w:rsidR="00FA6EC0" w:rsidRPr="00EF6F38">
        <w:rPr>
          <w:rFonts w:asciiTheme="minorHAnsi" w:hAnsiTheme="minorHAnsi" w:cstheme="minorHAnsi"/>
          <w:iCs/>
          <w:lang w:eastAsia="pl-PL"/>
        </w:rPr>
        <w:t xml:space="preserve"> zapisy Umowy Inwestycyjnej </w:t>
      </w:r>
      <w:r w:rsidR="001A2567" w:rsidRPr="00EF6F38">
        <w:rPr>
          <w:rFonts w:asciiTheme="minorHAnsi" w:hAnsiTheme="minorHAnsi" w:cstheme="minorHAnsi"/>
          <w:iCs/>
          <w:lang w:eastAsia="pl-PL"/>
        </w:rPr>
        <w:t>dotyczące</w:t>
      </w:r>
      <w:r w:rsidRPr="00EF6F38">
        <w:rPr>
          <w:rFonts w:asciiTheme="minorHAnsi" w:hAnsiTheme="minorHAnsi" w:cstheme="minorHAnsi"/>
          <w:iCs/>
          <w:lang w:eastAsia="pl-PL"/>
        </w:rPr>
        <w:t xml:space="preserve"> przedmiot</w:t>
      </w:r>
      <w:r w:rsidR="00FA6EC0" w:rsidRPr="00EF6F38">
        <w:rPr>
          <w:rFonts w:asciiTheme="minorHAnsi" w:hAnsiTheme="minorHAnsi" w:cstheme="minorHAnsi"/>
          <w:iCs/>
          <w:lang w:eastAsia="pl-PL"/>
        </w:rPr>
        <w:t>u</w:t>
      </w:r>
      <w:r w:rsidR="001A2567" w:rsidRPr="00EF6F38">
        <w:rPr>
          <w:rFonts w:asciiTheme="minorHAnsi" w:hAnsiTheme="minorHAnsi" w:cstheme="minorHAnsi"/>
          <w:iCs/>
          <w:lang w:eastAsia="pl-PL"/>
        </w:rPr>
        <w:t>, zakresu</w:t>
      </w:r>
      <w:r w:rsidR="00FA6EC0" w:rsidRPr="00EF6F38">
        <w:rPr>
          <w:rFonts w:asciiTheme="minorHAnsi" w:hAnsiTheme="minorHAnsi" w:cstheme="minorHAnsi"/>
          <w:iCs/>
          <w:lang w:eastAsia="pl-PL"/>
        </w:rPr>
        <w:t xml:space="preserve"> i celu</w:t>
      </w:r>
      <w:r w:rsidRPr="00EF6F38">
        <w:rPr>
          <w:rFonts w:asciiTheme="minorHAnsi" w:hAnsiTheme="minorHAnsi" w:cstheme="minorHAnsi"/>
          <w:iCs/>
          <w:lang w:eastAsia="pl-PL"/>
        </w:rPr>
        <w:t xml:space="preserve"> finansowania</w:t>
      </w:r>
      <w:r w:rsidR="00FA6EC0" w:rsidRPr="00EF6F38">
        <w:rPr>
          <w:rFonts w:asciiTheme="minorHAnsi" w:hAnsiTheme="minorHAnsi" w:cstheme="minorHAnsi"/>
          <w:iCs/>
          <w:lang w:eastAsia="pl-PL"/>
        </w:rPr>
        <w:t xml:space="preserve"> </w:t>
      </w:r>
      <w:r w:rsidR="001A2567" w:rsidRPr="00EF6F38">
        <w:rPr>
          <w:rFonts w:asciiTheme="minorHAnsi" w:hAnsiTheme="minorHAnsi" w:cstheme="minorHAnsi"/>
          <w:iCs/>
          <w:lang w:eastAsia="pl-PL"/>
        </w:rPr>
        <w:t>były jednoznaczne i zgodne z informacjami przedstawionymi na ten temat</w:t>
      </w:r>
      <w:r w:rsidRPr="00EF6F38">
        <w:rPr>
          <w:rFonts w:asciiTheme="minorHAnsi" w:hAnsiTheme="minorHAnsi" w:cstheme="minorHAnsi"/>
          <w:iCs/>
          <w:lang w:eastAsia="pl-PL"/>
        </w:rPr>
        <w:t xml:space="preserve"> we </w:t>
      </w:r>
      <w:r w:rsidR="00BE3BBB" w:rsidRPr="00EF6F38">
        <w:rPr>
          <w:rFonts w:asciiTheme="minorHAnsi" w:hAnsiTheme="minorHAnsi" w:cstheme="minorHAnsi"/>
          <w:iCs/>
          <w:lang w:eastAsia="pl-PL"/>
        </w:rPr>
        <w:t>Wniosku</w:t>
      </w:r>
      <w:r w:rsidRPr="00EF6F38">
        <w:rPr>
          <w:rFonts w:asciiTheme="minorHAnsi" w:hAnsiTheme="minorHAnsi" w:cstheme="minorHAnsi"/>
          <w:iCs/>
          <w:lang w:eastAsia="pl-PL"/>
        </w:rPr>
        <w:t>, biznespl</w:t>
      </w:r>
      <w:r w:rsidR="008A4B0C" w:rsidRPr="00EF6F38">
        <w:rPr>
          <w:rFonts w:asciiTheme="minorHAnsi" w:hAnsiTheme="minorHAnsi" w:cstheme="minorHAnsi"/>
          <w:iCs/>
          <w:lang w:eastAsia="pl-PL"/>
        </w:rPr>
        <w:t>anie lub dokumencie równoważnym.</w:t>
      </w:r>
    </w:p>
    <w:p w14:paraId="0855EF43" w14:textId="7C244191" w:rsidR="00217FE7" w:rsidRPr="00EF6F38" w:rsidRDefault="00781EE5" w:rsidP="00A73758">
      <w:pPr>
        <w:pStyle w:val="Akapitzlist"/>
        <w:numPr>
          <w:ilvl w:val="0"/>
          <w:numId w:val="14"/>
        </w:numPr>
        <w:spacing w:after="120"/>
        <w:ind w:left="357" w:hanging="357"/>
        <w:jc w:val="both"/>
        <w:rPr>
          <w:rFonts w:asciiTheme="minorHAnsi" w:hAnsiTheme="minorHAnsi" w:cstheme="minorHAnsi"/>
          <w:iCs/>
          <w:lang w:eastAsia="pl-PL"/>
        </w:rPr>
      </w:pPr>
      <w:r w:rsidRPr="00EF6F38">
        <w:rPr>
          <w:rFonts w:asciiTheme="minorHAnsi" w:hAnsiTheme="minorHAnsi" w:cstheme="minorHAnsi"/>
          <w:iCs/>
          <w:lang w:eastAsia="pl-PL"/>
        </w:rPr>
        <w:t>W przypadku zamiaru zmiany zakresu rzeczowego Inwestycji Końcowej, o ile zmiana ta jest zgodna z</w:t>
      </w:r>
      <w:r w:rsidR="00122221">
        <w:rPr>
          <w:rFonts w:asciiTheme="minorHAnsi" w:hAnsiTheme="minorHAnsi" w:cstheme="minorHAnsi"/>
          <w:iCs/>
          <w:lang w:eastAsia="pl-PL"/>
        </w:rPr>
        <w:t> </w:t>
      </w:r>
      <w:r w:rsidRPr="00EF6F38">
        <w:rPr>
          <w:rFonts w:asciiTheme="minorHAnsi" w:hAnsiTheme="minorHAnsi" w:cstheme="minorHAnsi"/>
          <w:iCs/>
          <w:lang w:eastAsia="pl-PL"/>
        </w:rPr>
        <w:t>pierwotnie wskazanym typem Inwestycji Końcowej,</w:t>
      </w:r>
      <w:r w:rsidR="00E00389" w:rsidRPr="00EF6F38">
        <w:rPr>
          <w:rFonts w:asciiTheme="minorHAnsi" w:hAnsiTheme="minorHAnsi" w:cstheme="minorHAnsi"/>
          <w:iCs/>
          <w:lang w:eastAsia="pl-PL"/>
        </w:rPr>
        <w:t xml:space="preserve"> Pożyczkobiorca</w:t>
      </w:r>
      <w:r w:rsidRPr="00EF6F38">
        <w:rPr>
          <w:rFonts w:asciiTheme="minorHAnsi" w:hAnsiTheme="minorHAnsi" w:cstheme="minorHAnsi"/>
          <w:iCs/>
          <w:lang w:eastAsia="pl-PL"/>
        </w:rPr>
        <w:t xml:space="preserve"> składa stosowny wniosek o</w:t>
      </w:r>
      <w:r w:rsidR="00122221">
        <w:rPr>
          <w:rFonts w:asciiTheme="minorHAnsi" w:hAnsiTheme="minorHAnsi" w:cstheme="minorHAnsi"/>
          <w:iCs/>
          <w:lang w:eastAsia="pl-PL"/>
        </w:rPr>
        <w:t> </w:t>
      </w:r>
      <w:r w:rsidRPr="00EF6F38">
        <w:rPr>
          <w:rFonts w:asciiTheme="minorHAnsi" w:hAnsiTheme="minorHAnsi" w:cstheme="minorHAnsi"/>
          <w:iCs/>
          <w:lang w:eastAsia="pl-PL"/>
        </w:rPr>
        <w:t>akceptację zmiany, a P</w:t>
      </w:r>
      <w:r w:rsidR="00E00389" w:rsidRPr="00EF6F38">
        <w:rPr>
          <w:rFonts w:asciiTheme="minorHAnsi" w:hAnsiTheme="minorHAnsi" w:cstheme="minorHAnsi"/>
          <w:iCs/>
          <w:lang w:eastAsia="pl-PL"/>
        </w:rPr>
        <w:t xml:space="preserve">ożyczkodawca </w:t>
      </w:r>
      <w:r w:rsidRPr="00EF6F38">
        <w:rPr>
          <w:rFonts w:asciiTheme="minorHAnsi" w:hAnsiTheme="minorHAnsi" w:cstheme="minorHAnsi"/>
          <w:iCs/>
          <w:lang w:eastAsia="pl-PL"/>
        </w:rPr>
        <w:t>zobowiązany jest taki wniosek rozpatrzyć. Jeżeli zmianą objęta jest rzecz lub usługa wyszczególniona w Umowie Inwestycyjnej, zmiana taka dokonywana jest w formie aneksu do Umowy Inwestycyjnej.</w:t>
      </w:r>
    </w:p>
    <w:p w14:paraId="75B5DCDF" w14:textId="5918AD47" w:rsidR="00FA4EFE" w:rsidRPr="00EF6F38" w:rsidRDefault="005F757E" w:rsidP="00E35A64">
      <w:pPr>
        <w:numPr>
          <w:ilvl w:val="0"/>
          <w:numId w:val="14"/>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 xml:space="preserve">Jednostkowa Pożyczka może finansować do 100% wydatków w ramach </w:t>
      </w:r>
      <w:r w:rsidR="0097188B" w:rsidRPr="00EF6F38">
        <w:rPr>
          <w:rFonts w:asciiTheme="minorHAnsi" w:hAnsiTheme="minorHAnsi" w:cstheme="minorHAnsi"/>
          <w:iCs/>
          <w:lang w:eastAsia="pl-PL"/>
        </w:rPr>
        <w:t>Inwestycji Końcowej</w:t>
      </w:r>
      <w:r w:rsidRPr="00EF6F38">
        <w:rPr>
          <w:rFonts w:asciiTheme="minorHAnsi" w:hAnsiTheme="minorHAnsi" w:cstheme="minorHAnsi"/>
          <w:iCs/>
          <w:lang w:eastAsia="pl-PL"/>
        </w:rPr>
        <w:t>.</w:t>
      </w:r>
      <w:r w:rsidR="00ED3941" w:rsidRPr="00EF6F38">
        <w:rPr>
          <w:rFonts w:asciiTheme="minorHAnsi" w:hAnsiTheme="minorHAnsi" w:cstheme="minorHAnsi"/>
          <w:iCs/>
          <w:lang w:eastAsia="pl-PL"/>
        </w:rPr>
        <w:t xml:space="preserve"> </w:t>
      </w:r>
      <w:bookmarkStart w:id="1" w:name="_Hlk160083763"/>
      <w:r w:rsidR="00ED3941" w:rsidRPr="00EF6F38">
        <w:rPr>
          <w:rFonts w:asciiTheme="minorHAnsi" w:hAnsiTheme="minorHAnsi" w:cstheme="minorHAnsi"/>
          <w:iCs/>
          <w:lang w:eastAsia="pl-PL"/>
        </w:rPr>
        <w:t>Wydatki niekwalifikowalne w ramach Inwestycji Końcowej, tj. takie które nie mogą być finansowane z</w:t>
      </w:r>
      <w:r w:rsidR="00122221">
        <w:rPr>
          <w:rFonts w:asciiTheme="minorHAnsi" w:hAnsiTheme="minorHAnsi" w:cstheme="minorHAnsi"/>
          <w:iCs/>
          <w:lang w:eastAsia="pl-PL"/>
        </w:rPr>
        <w:t> </w:t>
      </w:r>
      <w:r w:rsidR="00ED3941" w:rsidRPr="00EF6F38">
        <w:rPr>
          <w:rFonts w:asciiTheme="minorHAnsi" w:hAnsiTheme="minorHAnsi" w:cstheme="minorHAnsi"/>
          <w:iCs/>
          <w:lang w:eastAsia="pl-PL"/>
        </w:rPr>
        <w:t xml:space="preserve">Jednostkowej Pożyczki, </w:t>
      </w:r>
      <w:r w:rsidR="007C1054" w:rsidRPr="00EF6F38">
        <w:rPr>
          <w:rFonts w:asciiTheme="minorHAnsi" w:hAnsiTheme="minorHAnsi" w:cstheme="minorHAnsi"/>
          <w:iCs/>
          <w:lang w:eastAsia="pl-PL"/>
        </w:rPr>
        <w:t>są</w:t>
      </w:r>
      <w:r w:rsidR="00ED3941" w:rsidRPr="00EF6F38">
        <w:rPr>
          <w:rFonts w:asciiTheme="minorHAnsi" w:hAnsiTheme="minorHAnsi" w:cstheme="minorHAnsi"/>
          <w:iCs/>
          <w:lang w:eastAsia="pl-PL"/>
        </w:rPr>
        <w:t xml:space="preserve"> </w:t>
      </w:r>
      <w:r w:rsidR="007C1054" w:rsidRPr="00EF6F38">
        <w:rPr>
          <w:rFonts w:asciiTheme="minorHAnsi" w:hAnsiTheme="minorHAnsi" w:cstheme="minorHAnsi"/>
          <w:iCs/>
          <w:lang w:eastAsia="pl-PL"/>
        </w:rPr>
        <w:t xml:space="preserve">finansowane </w:t>
      </w:r>
      <w:r w:rsidR="00ED3941" w:rsidRPr="00EF6F38">
        <w:rPr>
          <w:rFonts w:asciiTheme="minorHAnsi" w:hAnsiTheme="minorHAnsi" w:cstheme="minorHAnsi"/>
          <w:iCs/>
          <w:lang w:eastAsia="pl-PL"/>
        </w:rPr>
        <w:t xml:space="preserve">przez </w:t>
      </w:r>
      <w:r w:rsidR="00E00389" w:rsidRPr="00EF6F38">
        <w:rPr>
          <w:rFonts w:asciiTheme="minorHAnsi" w:hAnsiTheme="minorHAnsi" w:cstheme="minorHAnsi"/>
          <w:iCs/>
          <w:lang w:eastAsia="pl-PL"/>
        </w:rPr>
        <w:t>Pożyczkobiorcę</w:t>
      </w:r>
      <w:r w:rsidR="00ED3941" w:rsidRPr="00EF6F38">
        <w:rPr>
          <w:rFonts w:asciiTheme="minorHAnsi" w:hAnsiTheme="minorHAnsi" w:cstheme="minorHAnsi"/>
          <w:iCs/>
          <w:lang w:eastAsia="pl-PL"/>
        </w:rPr>
        <w:t>.</w:t>
      </w:r>
      <w:bookmarkEnd w:id="1"/>
    </w:p>
    <w:p w14:paraId="67B527DE" w14:textId="310ED719" w:rsidR="006A7132" w:rsidRPr="00EF6F38" w:rsidRDefault="00FF2137" w:rsidP="00E35A64">
      <w:pPr>
        <w:numPr>
          <w:ilvl w:val="0"/>
          <w:numId w:val="14"/>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Jednostkowa Pożyczka finansuje wydatki w kwotach brutto, tj. z podatkiem VAT</w:t>
      </w:r>
      <w:r w:rsidR="006975FD" w:rsidRPr="00EF6F38">
        <w:rPr>
          <w:rFonts w:asciiTheme="minorHAnsi" w:hAnsiTheme="minorHAnsi" w:cstheme="minorHAnsi"/>
          <w:iCs/>
          <w:lang w:eastAsia="pl-PL"/>
        </w:rPr>
        <w:t xml:space="preserve">, z zastrzeżeniem </w:t>
      </w:r>
      <w:r w:rsidR="00814B6D" w:rsidRPr="00EF6F38">
        <w:rPr>
          <w:rFonts w:asciiTheme="minorHAnsi" w:hAnsiTheme="minorHAnsi" w:cstheme="minorHAnsi"/>
          <w:iCs/>
          <w:lang w:eastAsia="pl-PL"/>
        </w:rPr>
        <w:t>pkt</w:t>
      </w:r>
      <w:r w:rsidR="006F162D" w:rsidRPr="00EF6F38">
        <w:rPr>
          <w:rFonts w:asciiTheme="minorHAnsi" w:hAnsiTheme="minorHAnsi" w:cstheme="minorHAnsi"/>
          <w:iCs/>
          <w:lang w:eastAsia="pl-PL"/>
        </w:rPr>
        <w:t> </w:t>
      </w:r>
      <w:r w:rsidR="006975FD" w:rsidRPr="00EF6F38">
        <w:rPr>
          <w:rFonts w:asciiTheme="minorHAnsi" w:hAnsiTheme="minorHAnsi" w:cstheme="minorHAnsi"/>
          <w:iCs/>
          <w:lang w:eastAsia="pl-PL"/>
        </w:rPr>
        <w:t xml:space="preserve"> </w:t>
      </w:r>
      <w:r w:rsidR="00A70321" w:rsidRPr="00EF6F38">
        <w:rPr>
          <w:rFonts w:asciiTheme="minorHAnsi" w:hAnsiTheme="minorHAnsi" w:cstheme="minorHAnsi"/>
          <w:iCs/>
          <w:lang w:eastAsia="pl-PL"/>
        </w:rPr>
        <w:t>1</w:t>
      </w:r>
      <w:r w:rsidR="00E43567" w:rsidRPr="00EF6F38">
        <w:rPr>
          <w:rFonts w:asciiTheme="minorHAnsi" w:hAnsiTheme="minorHAnsi" w:cstheme="minorHAnsi"/>
          <w:iCs/>
          <w:lang w:eastAsia="pl-PL"/>
        </w:rPr>
        <w:t>0</w:t>
      </w:r>
      <w:r w:rsidR="00122221">
        <w:rPr>
          <w:rFonts w:asciiTheme="minorHAnsi" w:hAnsiTheme="minorHAnsi" w:cstheme="minorHAnsi"/>
          <w:iCs/>
          <w:lang w:eastAsia="pl-PL"/>
        </w:rPr>
        <w:t> </w:t>
      </w:r>
      <w:r w:rsidR="006975FD" w:rsidRPr="00EF6F38">
        <w:rPr>
          <w:rFonts w:asciiTheme="minorHAnsi" w:hAnsiTheme="minorHAnsi" w:cstheme="minorHAnsi"/>
          <w:iCs/>
          <w:lang w:eastAsia="pl-PL"/>
        </w:rPr>
        <w:t xml:space="preserve">i </w:t>
      </w:r>
      <w:r w:rsidR="005826A5" w:rsidRPr="00EF6F38">
        <w:rPr>
          <w:rFonts w:asciiTheme="minorHAnsi" w:hAnsiTheme="minorHAnsi" w:cstheme="minorHAnsi"/>
          <w:iCs/>
          <w:lang w:eastAsia="pl-PL"/>
        </w:rPr>
        <w:t>1</w:t>
      </w:r>
      <w:r w:rsidR="00E43567" w:rsidRPr="00EF6F38">
        <w:rPr>
          <w:rFonts w:asciiTheme="minorHAnsi" w:hAnsiTheme="minorHAnsi" w:cstheme="minorHAnsi"/>
          <w:iCs/>
          <w:lang w:eastAsia="pl-PL"/>
        </w:rPr>
        <w:t>1</w:t>
      </w:r>
      <w:r w:rsidR="00E87C79" w:rsidRPr="00EF6F38">
        <w:rPr>
          <w:rFonts w:asciiTheme="minorHAnsi" w:hAnsiTheme="minorHAnsi" w:cstheme="minorHAnsi"/>
          <w:iCs/>
          <w:lang w:eastAsia="pl-PL"/>
        </w:rPr>
        <w:t>.</w:t>
      </w:r>
    </w:p>
    <w:p w14:paraId="1C52CFC3" w14:textId="49E55EE9" w:rsidR="006A7132" w:rsidRPr="00EF6F38" w:rsidRDefault="007433CB" w:rsidP="00E35A64">
      <w:pPr>
        <w:numPr>
          <w:ilvl w:val="0"/>
          <w:numId w:val="14"/>
        </w:numPr>
        <w:spacing w:before="40" w:after="120"/>
        <w:jc w:val="both"/>
        <w:rPr>
          <w:rFonts w:asciiTheme="minorHAnsi" w:hAnsiTheme="minorHAnsi" w:cstheme="minorHAnsi"/>
        </w:rPr>
      </w:pPr>
      <w:r w:rsidRPr="00EF6F38">
        <w:rPr>
          <w:rFonts w:asciiTheme="minorHAnsi" w:hAnsiTheme="minorHAnsi" w:cstheme="minorHAnsi"/>
          <w:iCs/>
          <w:lang w:eastAsia="pl-PL"/>
        </w:rPr>
        <w:t>Dopuszczalność finansowania</w:t>
      </w:r>
      <w:r w:rsidR="007F2244" w:rsidRPr="00EF6F38">
        <w:rPr>
          <w:rFonts w:asciiTheme="minorHAnsi" w:hAnsiTheme="minorHAnsi" w:cstheme="minorHAnsi"/>
          <w:iCs/>
          <w:lang w:eastAsia="pl-PL"/>
        </w:rPr>
        <w:t xml:space="preserve"> podatku VAT</w:t>
      </w:r>
      <w:r w:rsidRPr="00EF6F38">
        <w:rPr>
          <w:rFonts w:asciiTheme="minorHAnsi" w:hAnsiTheme="minorHAnsi" w:cstheme="minorHAnsi"/>
          <w:iCs/>
          <w:lang w:eastAsia="pl-PL"/>
        </w:rPr>
        <w:t xml:space="preserve"> w ramach Jednostkowych Pożyczek</w:t>
      </w:r>
      <w:r w:rsidR="007F2244" w:rsidRPr="00EF6F38">
        <w:rPr>
          <w:rFonts w:asciiTheme="minorHAnsi" w:hAnsiTheme="minorHAnsi" w:cstheme="minorHAnsi"/>
          <w:iCs/>
          <w:lang w:eastAsia="pl-PL"/>
        </w:rPr>
        <w:t xml:space="preserve"> może podlegać dodatkowym ograniczeniom wynikającym z zasad udzielania pomocy publicznej.</w:t>
      </w:r>
    </w:p>
    <w:p w14:paraId="63F6A053" w14:textId="1E7763CF" w:rsidR="009F04BE" w:rsidRPr="00EF6F38" w:rsidRDefault="00A35927" w:rsidP="00E35A64">
      <w:pPr>
        <w:pStyle w:val="Akapitzlist"/>
        <w:numPr>
          <w:ilvl w:val="0"/>
          <w:numId w:val="14"/>
        </w:numPr>
        <w:jc w:val="both"/>
        <w:rPr>
          <w:rFonts w:asciiTheme="minorHAnsi" w:hAnsiTheme="minorHAnsi" w:cstheme="minorHAnsi"/>
          <w:iCs/>
          <w:lang w:eastAsia="pl-PL"/>
        </w:rPr>
      </w:pPr>
      <w:r w:rsidRPr="00EF6F38">
        <w:rPr>
          <w:rFonts w:asciiTheme="minorHAnsi" w:hAnsiTheme="minorHAnsi" w:cstheme="minorHAnsi"/>
          <w:iCs/>
          <w:lang w:eastAsia="pl-PL"/>
        </w:rPr>
        <w:t xml:space="preserve">W przypadku łączenia </w:t>
      </w:r>
      <w:r w:rsidR="00FC30B2" w:rsidRPr="00EF6F38">
        <w:rPr>
          <w:rFonts w:asciiTheme="minorHAnsi" w:hAnsiTheme="minorHAnsi" w:cstheme="minorHAnsi"/>
          <w:iCs/>
          <w:lang w:eastAsia="pl-PL"/>
        </w:rPr>
        <w:t>Jednostkowych Pożyczek</w:t>
      </w:r>
      <w:r w:rsidRPr="00EF6F38">
        <w:rPr>
          <w:rFonts w:asciiTheme="minorHAnsi" w:hAnsiTheme="minorHAnsi" w:cstheme="minorHAnsi"/>
          <w:iCs/>
          <w:lang w:eastAsia="pl-PL"/>
        </w:rPr>
        <w:t xml:space="preserve"> z innym finansowaniem, należy przestrzegać</w:t>
      </w:r>
      <w:r w:rsidR="004E1450" w:rsidRPr="00EF6F38">
        <w:rPr>
          <w:rFonts w:asciiTheme="minorHAnsi" w:hAnsiTheme="minorHAnsi" w:cstheme="minorHAnsi"/>
          <w:iCs/>
          <w:lang w:eastAsia="pl-PL"/>
        </w:rPr>
        <w:t xml:space="preserve"> </w:t>
      </w:r>
      <w:r w:rsidRPr="00EF6F38">
        <w:rPr>
          <w:rFonts w:asciiTheme="minorHAnsi" w:hAnsiTheme="minorHAnsi" w:cstheme="minorHAnsi"/>
          <w:iCs/>
          <w:lang w:eastAsia="pl-PL"/>
        </w:rPr>
        <w:t>zasad określonych w sekcji</w:t>
      </w:r>
      <w:r w:rsidR="004E1450" w:rsidRPr="00EF6F38">
        <w:rPr>
          <w:rFonts w:asciiTheme="minorHAnsi" w:hAnsiTheme="minorHAnsi" w:cstheme="minorHAnsi"/>
          <w:iCs/>
          <w:lang w:eastAsia="pl-PL"/>
        </w:rPr>
        <w:t xml:space="preserve"> 3.9.3 Wytycznych dotyczących kwalifikowalności wydatków</w:t>
      </w:r>
      <w:r w:rsidR="006558FF" w:rsidRPr="00EF6F38">
        <w:rPr>
          <w:rFonts w:asciiTheme="minorHAnsi" w:hAnsiTheme="minorHAnsi" w:cstheme="minorHAnsi"/>
          <w:iCs/>
          <w:lang w:eastAsia="pl-PL"/>
        </w:rPr>
        <w:t xml:space="preserve"> na lata 2021 - 2027</w:t>
      </w:r>
      <w:r w:rsidR="004E1450" w:rsidRPr="00EF6F38">
        <w:rPr>
          <w:rFonts w:asciiTheme="minorHAnsi" w:hAnsiTheme="minorHAnsi" w:cstheme="minorHAnsi"/>
          <w:iCs/>
          <w:lang w:eastAsia="pl-PL"/>
        </w:rPr>
        <w:t xml:space="preserve"> oraz właściwych przepisów dotyczących pomocy publicznej</w:t>
      </w:r>
      <w:r w:rsidR="00361601" w:rsidRPr="00EF6F38">
        <w:rPr>
          <w:rFonts w:asciiTheme="minorHAnsi" w:hAnsiTheme="minorHAnsi" w:cstheme="minorHAnsi"/>
          <w:iCs/>
          <w:lang w:eastAsia="pl-PL"/>
        </w:rPr>
        <w:t>.</w:t>
      </w:r>
    </w:p>
    <w:p w14:paraId="0771827F" w14:textId="1E2D442F" w:rsidR="001D1C13" w:rsidRPr="00EF6F38" w:rsidRDefault="001D1C13"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Wykluczenia</w:t>
      </w:r>
      <w:r w:rsidR="00985517" w:rsidRPr="00EF6F38">
        <w:rPr>
          <w:rFonts w:asciiTheme="minorHAnsi" w:hAnsiTheme="minorHAnsi" w:cstheme="minorHAnsi"/>
          <w:b/>
          <w:color w:val="auto"/>
          <w:sz w:val="24"/>
          <w:szCs w:val="24"/>
        </w:rPr>
        <w:t xml:space="preserve"> i ograniczenia w finansowaniu</w:t>
      </w:r>
    </w:p>
    <w:p w14:paraId="4F948D8D" w14:textId="3C5EBFD3" w:rsidR="00985517" w:rsidRPr="00EF6F38" w:rsidRDefault="001D1C13" w:rsidP="00E35A64">
      <w:pPr>
        <w:pStyle w:val="Akapitzlist"/>
        <w:numPr>
          <w:ilvl w:val="0"/>
          <w:numId w:val="1"/>
        </w:numPr>
        <w:spacing w:after="120" w:line="23" w:lineRule="atLeast"/>
        <w:ind w:left="425" w:hanging="425"/>
        <w:contextualSpacing w:val="0"/>
        <w:jc w:val="both"/>
        <w:rPr>
          <w:rFonts w:asciiTheme="minorHAnsi" w:hAnsiTheme="minorHAnsi" w:cstheme="minorHAnsi"/>
        </w:rPr>
      </w:pPr>
      <w:r w:rsidRPr="00EF6F38">
        <w:rPr>
          <w:rFonts w:asciiTheme="minorHAnsi" w:hAnsiTheme="minorHAnsi" w:cstheme="minorHAnsi"/>
        </w:rPr>
        <w:t xml:space="preserve">Środki z Jednostkowej Pożyczki </w:t>
      </w:r>
      <w:r w:rsidR="00985517" w:rsidRPr="00EF6F38">
        <w:rPr>
          <w:rFonts w:asciiTheme="minorHAnsi" w:hAnsiTheme="minorHAnsi" w:cstheme="minorHAnsi"/>
        </w:rPr>
        <w:t>nie mogą być przeznaczone na:</w:t>
      </w:r>
    </w:p>
    <w:p w14:paraId="11072FDE" w14:textId="77777777" w:rsidR="0049265B" w:rsidRPr="00EF6F38"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w</w:t>
      </w:r>
      <w:r w:rsidR="00E02A2E" w:rsidRPr="00EF6F38">
        <w:rPr>
          <w:rFonts w:asciiTheme="minorHAnsi" w:hAnsiTheme="minorHAnsi" w:cstheme="minorHAnsi"/>
        </w:rPr>
        <w:t xml:space="preserve">ydatki i inwestycje objęte </w:t>
      </w:r>
      <w:r w:rsidRPr="00EF6F38">
        <w:rPr>
          <w:rFonts w:asciiTheme="minorHAnsi" w:hAnsiTheme="minorHAnsi" w:cstheme="minorHAnsi"/>
        </w:rPr>
        <w:t>wyłącze</w:t>
      </w:r>
      <w:r w:rsidR="00E02A2E" w:rsidRPr="00EF6F38">
        <w:rPr>
          <w:rFonts w:asciiTheme="minorHAnsi" w:hAnsiTheme="minorHAnsi" w:cstheme="minorHAnsi"/>
        </w:rPr>
        <w:t xml:space="preserve">niem </w:t>
      </w:r>
      <w:r w:rsidRPr="00EF6F38">
        <w:rPr>
          <w:rFonts w:asciiTheme="minorHAnsi" w:hAnsiTheme="minorHAnsi" w:cstheme="minorHAnsi"/>
        </w:rPr>
        <w:t xml:space="preserve">ze </w:t>
      </w:r>
      <w:r w:rsidR="00E02A2E" w:rsidRPr="00EF6F38">
        <w:rPr>
          <w:rFonts w:asciiTheme="minorHAnsi" w:hAnsiTheme="minorHAnsi" w:cstheme="minorHAnsi"/>
        </w:rPr>
        <w:t>wsparcia z Europejskiego Funduszu Rozwoju Regionalnego</w:t>
      </w:r>
      <w:r w:rsidR="00653E64" w:rsidRPr="00EF6F38">
        <w:rPr>
          <w:rFonts w:asciiTheme="minorHAnsi" w:hAnsiTheme="minorHAnsi" w:cstheme="minorHAnsi"/>
        </w:rPr>
        <w:t>,</w:t>
      </w:r>
      <w:r w:rsidR="00E02A2E" w:rsidRPr="00EF6F38">
        <w:rPr>
          <w:rFonts w:asciiTheme="minorHAnsi" w:hAnsiTheme="minorHAnsi" w:cstheme="minorHAnsi"/>
        </w:rPr>
        <w:t xml:space="preserve"> </w:t>
      </w:r>
      <w:r w:rsidRPr="00EF6F38">
        <w:rPr>
          <w:rFonts w:asciiTheme="minorHAnsi" w:hAnsiTheme="minorHAnsi" w:cstheme="minorHAnsi"/>
        </w:rPr>
        <w:t>wskazanym</w:t>
      </w:r>
      <w:r w:rsidR="00E02A2E" w:rsidRPr="00EF6F38">
        <w:rPr>
          <w:rFonts w:asciiTheme="minorHAnsi" w:hAnsiTheme="minorHAnsi" w:cstheme="minorHAnsi"/>
        </w:rPr>
        <w:t xml:space="preserve"> w art. 7 ust. 1</w:t>
      </w:r>
      <w:r w:rsidR="00B92FC7" w:rsidRPr="00EF6F38">
        <w:rPr>
          <w:rFonts w:asciiTheme="minorHAnsi" w:hAnsiTheme="minorHAnsi" w:cstheme="minorHAnsi"/>
        </w:rPr>
        <w:t xml:space="preserve"> Rozporządzenia EFRR;</w:t>
      </w:r>
    </w:p>
    <w:p w14:paraId="71AC2E64" w14:textId="5A5BE56C" w:rsidR="00450D6A" w:rsidRPr="00EF6F38" w:rsidRDefault="00450D6A"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finansowanie indywidualnych kotłów zasilanych paliwami kopalnymi po dniu 31 grudnia 2024 r., z wyjątkiem kotłów wybranych do inwestycji przed tym terminem (decyduje data zawarcia Umowy Inwestycyjnej)</w:t>
      </w:r>
      <w:r w:rsidRPr="00EF6F38">
        <w:rPr>
          <w:rStyle w:val="Odwoanieprzypisudolnego"/>
          <w:rFonts w:asciiTheme="minorHAnsi" w:hAnsiTheme="minorHAnsi" w:cstheme="minorHAnsi"/>
        </w:rPr>
        <w:footnoteReference w:id="11"/>
      </w:r>
      <w:r w:rsidRPr="00EF6F38">
        <w:rPr>
          <w:rFonts w:asciiTheme="minorHAnsi" w:hAnsiTheme="minorHAnsi" w:cstheme="minorHAnsi"/>
        </w:rPr>
        <w:t>;</w:t>
      </w:r>
    </w:p>
    <w:p w14:paraId="5BC422BA" w14:textId="77777777" w:rsidR="000578F3" w:rsidRPr="00EF6F38"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 xml:space="preserve">wydatki </w:t>
      </w:r>
      <w:r w:rsidR="0051110B" w:rsidRPr="00EF6F38">
        <w:rPr>
          <w:rFonts w:asciiTheme="minorHAnsi" w:hAnsiTheme="minorHAnsi" w:cstheme="minorHAnsi"/>
        </w:rPr>
        <w:t>wspierające</w:t>
      </w:r>
      <w:r w:rsidRPr="00EF6F38">
        <w:rPr>
          <w:rFonts w:asciiTheme="minorHAnsi" w:hAnsiTheme="minorHAnsi" w:cstheme="minorHAnsi"/>
        </w:rPr>
        <w:t xml:space="preserve"> przeniesienie produkcji, o który</w:t>
      </w:r>
      <w:r w:rsidR="004E1450" w:rsidRPr="00EF6F38">
        <w:rPr>
          <w:rFonts w:asciiTheme="minorHAnsi" w:hAnsiTheme="minorHAnsi" w:cstheme="minorHAnsi"/>
        </w:rPr>
        <w:t>m</w:t>
      </w:r>
      <w:r w:rsidRPr="00EF6F38">
        <w:rPr>
          <w:rFonts w:asciiTheme="minorHAnsi" w:hAnsiTheme="minorHAnsi" w:cstheme="minorHAnsi"/>
        </w:rPr>
        <w:t xml:space="preserve"> mowa w art. 66 Rozporządzenia Ogólnego;</w:t>
      </w:r>
    </w:p>
    <w:p w14:paraId="0E751390" w14:textId="77777777" w:rsidR="000578F3" w:rsidRPr="00EF6F38"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spłatę odsetek od zadłużenia</w:t>
      </w:r>
      <w:r w:rsidR="00B76DD1" w:rsidRPr="00EF6F38">
        <w:rPr>
          <w:rFonts w:asciiTheme="minorHAnsi" w:hAnsiTheme="minorHAnsi" w:cstheme="minorHAnsi"/>
        </w:rPr>
        <w:t>,</w:t>
      </w:r>
      <w:r w:rsidRPr="00EF6F38">
        <w:rPr>
          <w:rFonts w:asciiTheme="minorHAnsi" w:hAnsiTheme="minorHAnsi" w:cstheme="minorHAnsi"/>
        </w:rPr>
        <w:t xml:space="preserve"> o który</w:t>
      </w:r>
      <w:r w:rsidR="00853ED7" w:rsidRPr="00EF6F38">
        <w:rPr>
          <w:rFonts w:asciiTheme="minorHAnsi" w:hAnsiTheme="minorHAnsi" w:cstheme="minorHAnsi"/>
        </w:rPr>
        <w:t>ch</w:t>
      </w:r>
      <w:r w:rsidRPr="00EF6F38">
        <w:rPr>
          <w:rFonts w:asciiTheme="minorHAnsi" w:hAnsiTheme="minorHAnsi" w:cstheme="minorHAnsi"/>
        </w:rPr>
        <w:t xml:space="preserve"> mowa w art. 64 ust. 1</w:t>
      </w:r>
      <w:r w:rsidR="00853ED7" w:rsidRPr="00EF6F38">
        <w:rPr>
          <w:rFonts w:asciiTheme="minorHAnsi" w:hAnsiTheme="minorHAnsi" w:cstheme="minorHAnsi"/>
        </w:rPr>
        <w:t xml:space="preserve"> lit. </w:t>
      </w:r>
      <w:r w:rsidRPr="00EF6F38">
        <w:rPr>
          <w:rFonts w:asciiTheme="minorHAnsi" w:hAnsiTheme="minorHAnsi" w:cstheme="minorHAnsi"/>
        </w:rPr>
        <w:t>a Rozporządzenia Ogólnego;</w:t>
      </w:r>
    </w:p>
    <w:p w14:paraId="3C7C348F" w14:textId="1698EBF9" w:rsidR="001D1C13" w:rsidRPr="00EF6F38"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prefinansowanie wydatków, w części</w:t>
      </w:r>
      <w:r w:rsidR="00A02EC7" w:rsidRPr="00EF6F38">
        <w:rPr>
          <w:rFonts w:asciiTheme="minorHAnsi" w:hAnsiTheme="minorHAnsi" w:cstheme="minorHAnsi"/>
        </w:rPr>
        <w:t>,</w:t>
      </w:r>
      <w:r w:rsidRPr="00EF6F38">
        <w:rPr>
          <w:rFonts w:asciiTheme="minorHAnsi" w:hAnsiTheme="minorHAnsi" w:cstheme="minorHAnsi"/>
        </w:rPr>
        <w:t xml:space="preserve"> na którą </w:t>
      </w:r>
      <w:r w:rsidR="00D10706" w:rsidRPr="00EF6F38">
        <w:rPr>
          <w:rFonts w:asciiTheme="minorHAnsi" w:hAnsiTheme="minorHAnsi" w:cstheme="minorHAnsi"/>
        </w:rPr>
        <w:t>Pożyczkobiorca</w:t>
      </w:r>
      <w:r w:rsidRPr="00EF6F38">
        <w:rPr>
          <w:rFonts w:asciiTheme="minorHAnsi" w:hAnsiTheme="minorHAnsi" w:cstheme="minorHAnsi"/>
        </w:rPr>
        <w:t xml:space="preserve"> otrzymał dofinansowanie w formie dotacji;</w:t>
      </w:r>
    </w:p>
    <w:p w14:paraId="03F9231A" w14:textId="04F7CEF8" w:rsidR="001D1C13" w:rsidRPr="00EF6F38"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refinansowanie pożyczek, kredytów</w:t>
      </w:r>
      <w:r w:rsidR="00763355" w:rsidRPr="00EF6F38">
        <w:rPr>
          <w:rFonts w:asciiTheme="minorHAnsi" w:hAnsiTheme="minorHAnsi" w:cstheme="minorHAnsi"/>
        </w:rPr>
        <w:t>,</w:t>
      </w:r>
      <w:r w:rsidRPr="00EF6F38">
        <w:rPr>
          <w:rFonts w:asciiTheme="minorHAnsi" w:hAnsiTheme="minorHAnsi" w:cstheme="minorHAnsi"/>
        </w:rPr>
        <w:t xml:space="preserve"> leasing</w:t>
      </w:r>
      <w:r w:rsidR="00AC0D74" w:rsidRPr="00EF6F38">
        <w:rPr>
          <w:rFonts w:asciiTheme="minorHAnsi" w:hAnsiTheme="minorHAnsi" w:cstheme="minorHAnsi"/>
        </w:rPr>
        <w:t>u</w:t>
      </w:r>
      <w:r w:rsidR="004B337C" w:rsidRPr="00EF6F38">
        <w:rPr>
          <w:rFonts w:asciiTheme="minorHAnsi" w:hAnsiTheme="minorHAnsi" w:cstheme="minorHAnsi"/>
        </w:rPr>
        <w:t xml:space="preserve"> lub</w:t>
      </w:r>
      <w:r w:rsidR="00AC0D74" w:rsidRPr="00EF6F38">
        <w:rPr>
          <w:rFonts w:asciiTheme="minorHAnsi" w:hAnsiTheme="minorHAnsi" w:cstheme="minorHAnsi"/>
        </w:rPr>
        <w:t xml:space="preserve"> innych form finansowania</w:t>
      </w:r>
      <w:r w:rsidR="00003DEB" w:rsidRPr="00EF6F38">
        <w:rPr>
          <w:rFonts w:asciiTheme="minorHAnsi" w:hAnsiTheme="minorHAnsi" w:cstheme="minorHAnsi"/>
        </w:rPr>
        <w:t>, z których korzysta</w:t>
      </w:r>
      <w:r w:rsidR="00AC0D74" w:rsidRPr="00EF6F38">
        <w:rPr>
          <w:rFonts w:asciiTheme="minorHAnsi" w:hAnsiTheme="minorHAnsi" w:cstheme="minorHAnsi"/>
        </w:rPr>
        <w:t xml:space="preserve"> </w:t>
      </w:r>
      <w:r w:rsidR="00D10706" w:rsidRPr="00EF6F38">
        <w:rPr>
          <w:rFonts w:asciiTheme="minorHAnsi" w:hAnsiTheme="minorHAnsi" w:cstheme="minorHAnsi"/>
        </w:rPr>
        <w:t>Pożyczkobiorca</w:t>
      </w:r>
      <w:r w:rsidRPr="00EF6F38">
        <w:rPr>
          <w:rFonts w:asciiTheme="minorHAnsi" w:hAnsiTheme="minorHAnsi" w:cstheme="minorHAnsi"/>
        </w:rPr>
        <w:t>;</w:t>
      </w:r>
    </w:p>
    <w:p w14:paraId="7F3A35AF" w14:textId="77777777" w:rsidR="00817AC5" w:rsidRPr="00EF6F38"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finansowanie zakupu aktywów finansowych przeznaczonych do obrotu</w:t>
      </w:r>
      <w:r w:rsidR="00B76DD1" w:rsidRPr="00EF6F38">
        <w:rPr>
          <w:rFonts w:asciiTheme="minorHAnsi" w:hAnsiTheme="minorHAnsi" w:cstheme="minorHAnsi"/>
        </w:rPr>
        <w:t xml:space="preserve"> lub lokowania </w:t>
      </w:r>
      <w:r w:rsidR="005B64D9" w:rsidRPr="00EF6F38">
        <w:rPr>
          <w:rFonts w:asciiTheme="minorHAnsi" w:hAnsiTheme="minorHAnsi" w:cstheme="minorHAnsi"/>
        </w:rPr>
        <w:t>kapitału</w:t>
      </w:r>
      <w:r w:rsidRPr="00EF6F38">
        <w:rPr>
          <w:rFonts w:asciiTheme="minorHAnsi" w:hAnsiTheme="minorHAnsi" w:cstheme="minorHAnsi"/>
        </w:rPr>
        <w:t>;</w:t>
      </w:r>
    </w:p>
    <w:p w14:paraId="252A8F07" w14:textId="2F6B597B" w:rsidR="001D1C13" w:rsidRPr="00EF6F38"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lastRenderedPageBreak/>
        <w:t>finansowanie zakupu nieruchomości</w:t>
      </w:r>
      <w:r w:rsidR="00817AC5" w:rsidRPr="00EF6F38">
        <w:rPr>
          <w:rFonts w:asciiTheme="minorHAnsi" w:hAnsiTheme="minorHAnsi" w:cstheme="minorHAnsi"/>
        </w:rPr>
        <w:t xml:space="preserve"> przeznaczonych do obrotu lub stanowiących lokatę kapitału</w:t>
      </w:r>
      <w:r w:rsidR="00345F86" w:rsidRPr="00EF6F38">
        <w:rPr>
          <w:rFonts w:asciiTheme="minorHAnsi" w:hAnsiTheme="minorHAnsi" w:cstheme="minorHAnsi"/>
        </w:rPr>
        <w:t>;</w:t>
      </w:r>
    </w:p>
    <w:p w14:paraId="2476440B" w14:textId="77777777" w:rsidR="002E5FF3" w:rsidRPr="00EF6F38" w:rsidRDefault="00F96835" w:rsidP="00E35A64">
      <w:pPr>
        <w:pStyle w:val="Akapitzlist"/>
        <w:numPr>
          <w:ilvl w:val="0"/>
          <w:numId w:val="3"/>
        </w:numPr>
        <w:spacing w:after="120" w:line="23" w:lineRule="atLeast"/>
        <w:ind w:left="993" w:hanging="426"/>
        <w:contextualSpacing w:val="0"/>
        <w:jc w:val="both"/>
        <w:rPr>
          <w:rFonts w:asciiTheme="minorHAnsi" w:hAnsiTheme="minorHAnsi" w:cstheme="minorHAnsi"/>
        </w:rPr>
      </w:pPr>
      <w:bookmarkStart w:id="2" w:name="_Hlk170895480"/>
      <w:r w:rsidRPr="00EF6F38">
        <w:rPr>
          <w:rFonts w:asciiTheme="minorHAnsi" w:hAnsiTheme="minorHAnsi" w:cstheme="minorHAnsi"/>
        </w:rPr>
        <w:t>f</w:t>
      </w:r>
      <w:r w:rsidR="006F6B70" w:rsidRPr="00EF6F38">
        <w:rPr>
          <w:rFonts w:asciiTheme="minorHAnsi" w:hAnsiTheme="minorHAnsi" w:cstheme="minorHAnsi"/>
        </w:rPr>
        <w:t xml:space="preserve">inansowanie zakupu nieruchomości mieszkalnych; </w:t>
      </w:r>
      <w:bookmarkEnd w:id="2"/>
    </w:p>
    <w:p w14:paraId="0DE57A85" w14:textId="28515171" w:rsidR="002E5FF3" w:rsidRPr="00EF6F38" w:rsidRDefault="002E5F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EF6F38">
        <w:rPr>
          <w:rFonts w:asciiTheme="minorHAnsi" w:hAnsiTheme="minorHAnsi" w:cstheme="minorHAnsi"/>
        </w:rPr>
        <w:t xml:space="preserve">finansowanie zakupu środków transportu podgrupy KST 741 (wg. klasyfikacji środków trwałych GUS). </w:t>
      </w:r>
    </w:p>
    <w:p w14:paraId="764E103E" w14:textId="2E244EE9" w:rsidR="00A67FDB" w:rsidRPr="00EF6F38" w:rsidRDefault="009B38DF" w:rsidP="00E35A64">
      <w:pPr>
        <w:numPr>
          <w:ilvl w:val="0"/>
          <w:numId w:val="1"/>
        </w:numPr>
        <w:spacing w:before="40" w:after="120"/>
        <w:ind w:left="425" w:hanging="425"/>
        <w:jc w:val="both"/>
        <w:rPr>
          <w:rFonts w:asciiTheme="minorHAnsi" w:hAnsiTheme="minorHAnsi" w:cstheme="minorHAnsi"/>
        </w:rPr>
      </w:pPr>
      <w:r w:rsidRPr="00EF6F38">
        <w:rPr>
          <w:rFonts w:asciiTheme="minorHAnsi" w:hAnsiTheme="minorHAnsi" w:cstheme="minorHAnsi"/>
          <w:iCs/>
          <w:lang w:eastAsia="pl-PL"/>
        </w:rPr>
        <w:t xml:space="preserve">Pożyczkobiorca </w:t>
      </w:r>
      <w:r w:rsidR="00C61F94" w:rsidRPr="00EF6F38">
        <w:rPr>
          <w:rFonts w:asciiTheme="minorHAnsi" w:hAnsiTheme="minorHAnsi" w:cstheme="minorHAnsi"/>
          <w:iCs/>
          <w:lang w:eastAsia="pl-PL"/>
        </w:rPr>
        <w:t xml:space="preserve">nie może doprowadzić do wystąpienia przypadku </w:t>
      </w:r>
      <w:r w:rsidR="00276339" w:rsidRPr="00EF6F38">
        <w:rPr>
          <w:rFonts w:asciiTheme="minorHAnsi" w:hAnsiTheme="minorHAnsi" w:cstheme="minorHAnsi"/>
          <w:iCs/>
          <w:lang w:eastAsia="pl-PL"/>
        </w:rPr>
        <w:t xml:space="preserve">więcej niż jednokrotnego </w:t>
      </w:r>
      <w:r w:rsidR="00C61F94" w:rsidRPr="00EF6F38">
        <w:rPr>
          <w:rFonts w:asciiTheme="minorHAnsi" w:hAnsiTheme="minorHAnsi" w:cstheme="minorHAnsi"/>
          <w:iCs/>
          <w:lang w:eastAsia="pl-PL"/>
        </w:rPr>
        <w:t xml:space="preserve">– całkowitego albo częściowego – </w:t>
      </w:r>
      <w:r w:rsidR="007A6855" w:rsidRPr="00EF6F38">
        <w:rPr>
          <w:rFonts w:asciiTheme="minorHAnsi" w:hAnsiTheme="minorHAnsi" w:cstheme="minorHAnsi"/>
          <w:iCs/>
          <w:lang w:eastAsia="pl-PL"/>
        </w:rPr>
        <w:t>s</w:t>
      </w:r>
      <w:r w:rsidR="00C61F94" w:rsidRPr="00EF6F38">
        <w:rPr>
          <w:rFonts w:asciiTheme="minorHAnsi" w:hAnsiTheme="minorHAnsi" w:cstheme="minorHAnsi"/>
          <w:iCs/>
          <w:lang w:eastAsia="pl-PL"/>
        </w:rPr>
        <w:t>finansowania wydatków</w:t>
      </w:r>
      <w:r w:rsidR="00242EEF" w:rsidRPr="00EF6F38">
        <w:rPr>
          <w:rFonts w:asciiTheme="minorHAnsi" w:hAnsiTheme="minorHAnsi" w:cstheme="minorHAnsi"/>
          <w:iCs/>
          <w:lang w:eastAsia="pl-PL"/>
        </w:rPr>
        <w:t xml:space="preserve"> </w:t>
      </w:r>
      <w:r w:rsidRPr="00EF6F38">
        <w:rPr>
          <w:rFonts w:asciiTheme="minorHAnsi" w:hAnsiTheme="minorHAnsi" w:cstheme="minorHAnsi"/>
          <w:iCs/>
          <w:lang w:eastAsia="pl-PL"/>
        </w:rPr>
        <w:t xml:space="preserve">Pożyczkobiorcy </w:t>
      </w:r>
      <w:r w:rsidR="00276339" w:rsidRPr="00EF6F38">
        <w:rPr>
          <w:rFonts w:asciiTheme="minorHAnsi" w:hAnsiTheme="minorHAnsi" w:cstheme="minorHAnsi"/>
          <w:iCs/>
          <w:lang w:eastAsia="pl-PL"/>
        </w:rPr>
        <w:t xml:space="preserve">przedstawianych do rozliczenia Jednostkowej Pożyczki </w:t>
      </w:r>
      <w:r w:rsidR="00C05732" w:rsidRPr="00EF6F38">
        <w:rPr>
          <w:rFonts w:asciiTheme="minorHAnsi" w:hAnsiTheme="minorHAnsi" w:cstheme="minorHAnsi"/>
          <w:iCs/>
          <w:lang w:eastAsia="pl-PL"/>
        </w:rPr>
        <w:t>w ramach</w:t>
      </w:r>
      <w:r w:rsidR="00C0691B" w:rsidRPr="00EF6F38">
        <w:rPr>
          <w:rFonts w:asciiTheme="minorHAnsi" w:hAnsiTheme="minorHAnsi" w:cstheme="minorHAnsi"/>
          <w:iCs/>
          <w:lang w:eastAsia="pl-PL"/>
        </w:rPr>
        <w:t xml:space="preserve"> tego samego lub</w:t>
      </w:r>
      <w:r w:rsidR="00C05732" w:rsidRPr="00EF6F38">
        <w:rPr>
          <w:rFonts w:asciiTheme="minorHAnsi" w:hAnsiTheme="minorHAnsi" w:cstheme="minorHAnsi"/>
          <w:iCs/>
          <w:lang w:eastAsia="pl-PL"/>
        </w:rPr>
        <w:t xml:space="preserve"> różnych funduszy lub instrumentów wsparcia Unii Europejskiej</w:t>
      </w:r>
      <w:r w:rsidR="00D96020" w:rsidRPr="00EF6F38">
        <w:rPr>
          <w:rFonts w:asciiTheme="minorHAnsi" w:hAnsiTheme="minorHAnsi" w:cstheme="minorHAnsi"/>
          <w:iCs/>
          <w:lang w:eastAsia="pl-PL"/>
        </w:rPr>
        <w:t xml:space="preserve">, </w:t>
      </w:r>
      <w:r w:rsidR="0096496D" w:rsidRPr="00EF6F38">
        <w:rPr>
          <w:rFonts w:asciiTheme="minorHAnsi" w:hAnsiTheme="minorHAnsi" w:cstheme="minorHAnsi"/>
          <w:iCs/>
          <w:lang w:eastAsia="pl-PL"/>
        </w:rPr>
        <w:t>w jakiejkolwiek</w:t>
      </w:r>
      <w:r w:rsidR="0096496D" w:rsidRPr="00EF6F38">
        <w:rPr>
          <w:rFonts w:asciiTheme="minorHAnsi" w:hAnsiTheme="minorHAnsi" w:cstheme="minorHAnsi"/>
        </w:rPr>
        <w:t xml:space="preserve"> formie (w </w:t>
      </w:r>
      <w:r w:rsidR="00C33744" w:rsidRPr="00EF6F38">
        <w:rPr>
          <w:rFonts w:asciiTheme="minorHAnsi" w:hAnsiTheme="minorHAnsi" w:cstheme="minorHAnsi"/>
        </w:rPr>
        <w:t xml:space="preserve">tym </w:t>
      </w:r>
      <w:r w:rsidR="0096496D" w:rsidRPr="00EF6F38">
        <w:rPr>
          <w:rFonts w:asciiTheme="minorHAnsi" w:hAnsiTheme="minorHAnsi" w:cstheme="minorHAnsi"/>
        </w:rPr>
        <w:t xml:space="preserve">dotacji, pożyczki, gwarancji/poręczenia). </w:t>
      </w:r>
    </w:p>
    <w:p w14:paraId="6AA3EFA2" w14:textId="09A5C7B1" w:rsidR="00A67FDB" w:rsidRPr="00EF6F38" w:rsidRDefault="00A67FDB" w:rsidP="004C492E">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Cesja wierzytelności i zabezpieczeń</w:t>
      </w:r>
    </w:p>
    <w:p w14:paraId="2E2CF93D" w14:textId="76D980FA" w:rsidR="00A67FDB" w:rsidRPr="00EF6F38" w:rsidRDefault="00A67FDB" w:rsidP="00B1188D">
      <w:pPr>
        <w:numPr>
          <w:ilvl w:val="0"/>
          <w:numId w:val="26"/>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 xml:space="preserve">Pożyczkobiorca przyjmuje do wiadomości, że Pożyczkodawca dokonał przelewu na rzecz Banku Gospodarstwa Krajowego wierzytelności Pożyczkodawcy z tytułu zawartej przez Pożyczkobiorcę </w:t>
      </w:r>
      <w:r w:rsidR="0095547B" w:rsidRPr="00EF6F38">
        <w:rPr>
          <w:rFonts w:asciiTheme="minorHAnsi" w:hAnsiTheme="minorHAnsi" w:cstheme="minorHAnsi"/>
          <w:iCs/>
          <w:lang w:eastAsia="pl-PL"/>
        </w:rPr>
        <w:t xml:space="preserve">Umowy Inwestycyjnej </w:t>
      </w:r>
      <w:r w:rsidRPr="00EF6F38">
        <w:rPr>
          <w:rFonts w:asciiTheme="minorHAnsi" w:hAnsiTheme="minorHAnsi" w:cstheme="minorHAnsi"/>
          <w:iCs/>
          <w:lang w:eastAsia="pl-PL"/>
        </w:rPr>
        <w:t>oraz ustanowionych przez niego zabezpieczeń.</w:t>
      </w:r>
    </w:p>
    <w:p w14:paraId="0E625568" w14:textId="1284A340" w:rsidR="00A67FDB" w:rsidRPr="00EF6F38" w:rsidRDefault="00A67FDB" w:rsidP="00B1188D">
      <w:pPr>
        <w:numPr>
          <w:ilvl w:val="0"/>
          <w:numId w:val="26"/>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Przelew wierzytelności Pożyczkobiorcy na rzecz Banku Gospodarstwa Krajowego dokonany został z tzw. warunkiem zawieszającym, tj. skutek prawny tego przelewu, wystąpi z chwilą zajścia okoliczności określonych w umowie zawartej pomiędzy Pożyczkodawcą a Bankiem Gospodarstwa Krajowego, o</w:t>
      </w:r>
      <w:r w:rsidR="00122221">
        <w:rPr>
          <w:rFonts w:asciiTheme="minorHAnsi" w:hAnsiTheme="minorHAnsi" w:cstheme="minorHAnsi"/>
          <w:iCs/>
          <w:lang w:eastAsia="pl-PL"/>
        </w:rPr>
        <w:t> </w:t>
      </w:r>
      <w:r w:rsidRPr="00EF6F38">
        <w:rPr>
          <w:rFonts w:asciiTheme="minorHAnsi" w:hAnsiTheme="minorHAnsi" w:cstheme="minorHAnsi"/>
          <w:iCs/>
          <w:lang w:eastAsia="pl-PL"/>
        </w:rPr>
        <w:t>czym Pożyczkobiorca poinformowany zostanie przez Pożyczkodawcę lub przez Bank Gospodarstwa Krajowego w drodze pisemnej.</w:t>
      </w:r>
    </w:p>
    <w:p w14:paraId="6D732BC1" w14:textId="55006B02" w:rsidR="00A67FDB" w:rsidRPr="00EF6F38" w:rsidRDefault="00A67FDB" w:rsidP="00B1188D">
      <w:pPr>
        <w:numPr>
          <w:ilvl w:val="0"/>
          <w:numId w:val="26"/>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Zawiadomienie, o którym mowa w ust. 2 powyżej, zawierało będzie informacje dotyczące w</w:t>
      </w:r>
      <w:r w:rsidR="00122221">
        <w:rPr>
          <w:rFonts w:asciiTheme="minorHAnsi" w:hAnsiTheme="minorHAnsi" w:cstheme="minorHAnsi"/>
          <w:iCs/>
          <w:lang w:eastAsia="pl-PL"/>
        </w:rPr>
        <w:t> </w:t>
      </w:r>
      <w:r w:rsidRPr="00EF6F38">
        <w:rPr>
          <w:rFonts w:asciiTheme="minorHAnsi" w:hAnsiTheme="minorHAnsi" w:cstheme="minorHAnsi"/>
          <w:iCs/>
          <w:lang w:eastAsia="pl-PL"/>
        </w:rPr>
        <w:t>szczególności obowiązku spłaty przez Pożyczkobiorcę rat kapitałowych i odsetek wynikających z</w:t>
      </w:r>
      <w:r w:rsidR="00122221">
        <w:rPr>
          <w:rFonts w:asciiTheme="minorHAnsi" w:hAnsiTheme="minorHAnsi" w:cstheme="minorHAnsi"/>
          <w:iCs/>
          <w:lang w:eastAsia="pl-PL"/>
        </w:rPr>
        <w:t> </w:t>
      </w:r>
      <w:r w:rsidRPr="00EF6F38">
        <w:rPr>
          <w:rFonts w:asciiTheme="minorHAnsi" w:hAnsiTheme="minorHAnsi" w:cstheme="minorHAnsi"/>
          <w:iCs/>
          <w:lang w:eastAsia="pl-PL"/>
        </w:rPr>
        <w:t xml:space="preserve">harmonogramu spłat jak i innych płatności wynikających z </w:t>
      </w:r>
      <w:r w:rsidR="0095547B" w:rsidRPr="00EF6F38">
        <w:rPr>
          <w:rFonts w:asciiTheme="minorHAnsi" w:hAnsiTheme="minorHAnsi" w:cstheme="minorHAnsi"/>
          <w:iCs/>
          <w:lang w:eastAsia="pl-PL"/>
        </w:rPr>
        <w:t>Umowy Inwestycyjnej</w:t>
      </w:r>
      <w:r w:rsidRPr="00EF6F38">
        <w:rPr>
          <w:rFonts w:asciiTheme="minorHAnsi" w:hAnsiTheme="minorHAnsi" w:cstheme="minorHAnsi"/>
          <w:iCs/>
          <w:lang w:eastAsia="pl-PL"/>
        </w:rPr>
        <w:t>, na nowy rachunek wskazany przez Bank Gospodarstwa Krajowego.</w:t>
      </w:r>
    </w:p>
    <w:p w14:paraId="34CE551C" w14:textId="21BCDBB5" w:rsidR="00A67FDB" w:rsidRPr="00EF6F38" w:rsidRDefault="00A67FDB" w:rsidP="00B1188D">
      <w:pPr>
        <w:numPr>
          <w:ilvl w:val="0"/>
          <w:numId w:val="26"/>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Bank Gospodarstwa Krajowego ma prawo do dokonania dalszych przelewów wymienionych powyżej wierzytelności wraz z zabezpieczeniami na inny podmiot.</w:t>
      </w:r>
    </w:p>
    <w:p w14:paraId="18575C4D" w14:textId="2F65B601" w:rsidR="001465A3" w:rsidRPr="00EF6F38" w:rsidRDefault="0067784B"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Podstawowe</w:t>
      </w:r>
      <w:r w:rsidR="00A536FD" w:rsidRPr="00EF6F38">
        <w:rPr>
          <w:rFonts w:asciiTheme="minorHAnsi" w:hAnsiTheme="minorHAnsi" w:cstheme="minorHAnsi"/>
          <w:b/>
          <w:color w:val="auto"/>
          <w:sz w:val="24"/>
          <w:szCs w:val="24"/>
        </w:rPr>
        <w:t xml:space="preserve"> </w:t>
      </w:r>
      <w:r w:rsidR="005F3EAE" w:rsidRPr="00EF6F38">
        <w:rPr>
          <w:rFonts w:asciiTheme="minorHAnsi" w:hAnsiTheme="minorHAnsi" w:cstheme="minorHAnsi"/>
          <w:b/>
          <w:color w:val="auto"/>
          <w:sz w:val="24"/>
          <w:szCs w:val="24"/>
        </w:rPr>
        <w:t xml:space="preserve">zasady </w:t>
      </w:r>
      <w:r w:rsidR="001465A3" w:rsidRPr="00EF6F38">
        <w:rPr>
          <w:rFonts w:asciiTheme="minorHAnsi" w:hAnsiTheme="minorHAnsi" w:cstheme="minorHAnsi"/>
          <w:b/>
          <w:color w:val="auto"/>
          <w:sz w:val="24"/>
          <w:szCs w:val="24"/>
        </w:rPr>
        <w:t xml:space="preserve">udzielania </w:t>
      </w:r>
      <w:r w:rsidR="00AE7DAF" w:rsidRPr="00EF6F38">
        <w:rPr>
          <w:rFonts w:asciiTheme="minorHAnsi" w:hAnsiTheme="minorHAnsi" w:cstheme="minorHAnsi"/>
          <w:b/>
          <w:color w:val="auto"/>
          <w:sz w:val="24"/>
          <w:szCs w:val="24"/>
        </w:rPr>
        <w:t xml:space="preserve">Jednostkowej </w:t>
      </w:r>
      <w:r w:rsidR="00EE5106" w:rsidRPr="00EF6F38">
        <w:rPr>
          <w:rFonts w:asciiTheme="minorHAnsi" w:hAnsiTheme="minorHAnsi" w:cstheme="minorHAnsi"/>
          <w:b/>
          <w:color w:val="auto"/>
          <w:sz w:val="24"/>
          <w:szCs w:val="24"/>
        </w:rPr>
        <w:t>Pożyczki</w:t>
      </w:r>
    </w:p>
    <w:p w14:paraId="3DEEA744" w14:textId="459DE94D" w:rsidR="009B38DF" w:rsidRPr="00EF6F38" w:rsidRDefault="009B38DF" w:rsidP="0073292C">
      <w:pPr>
        <w:pStyle w:val="Akapitzlist"/>
        <w:numPr>
          <w:ilvl w:val="0"/>
          <w:numId w:val="9"/>
        </w:numPr>
        <w:spacing w:after="120"/>
        <w:contextualSpacing w:val="0"/>
        <w:jc w:val="both"/>
        <w:rPr>
          <w:rFonts w:asciiTheme="minorHAnsi" w:hAnsiTheme="minorHAnsi" w:cstheme="minorHAnsi"/>
        </w:rPr>
      </w:pPr>
      <w:r w:rsidRPr="00EF6F38">
        <w:rPr>
          <w:rFonts w:asciiTheme="minorHAnsi" w:hAnsiTheme="minorHAnsi" w:cstheme="minorHAnsi"/>
        </w:rPr>
        <w:t xml:space="preserve">Udzielenie Jednostkowej Pożyczki nie może być uzależnione od zawarcia przez </w:t>
      </w:r>
      <w:r w:rsidRPr="00EF6F38">
        <w:rPr>
          <w:rFonts w:asciiTheme="minorHAnsi" w:hAnsiTheme="minorHAnsi" w:cstheme="minorHAnsi"/>
          <w:iCs/>
        </w:rPr>
        <w:t xml:space="preserve">Pożyczkobiorcę </w:t>
      </w:r>
      <w:r w:rsidRPr="00EF6F38">
        <w:rPr>
          <w:rFonts w:asciiTheme="minorHAnsi" w:hAnsiTheme="minorHAnsi" w:cstheme="minorHAnsi"/>
        </w:rPr>
        <w:t>z</w:t>
      </w:r>
      <w:r w:rsidR="00122221">
        <w:rPr>
          <w:rFonts w:asciiTheme="minorHAnsi" w:hAnsiTheme="minorHAnsi" w:cstheme="minorHAnsi"/>
        </w:rPr>
        <w:t> </w:t>
      </w:r>
      <w:r w:rsidRPr="00EF6F38">
        <w:rPr>
          <w:rFonts w:asciiTheme="minorHAnsi" w:hAnsiTheme="minorHAnsi" w:cstheme="minorHAnsi"/>
          <w:iCs/>
        </w:rPr>
        <w:t xml:space="preserve">Pożyczkodawcą </w:t>
      </w:r>
      <w:r w:rsidRPr="00EF6F38">
        <w:rPr>
          <w:rFonts w:asciiTheme="minorHAnsi" w:hAnsiTheme="minorHAnsi" w:cstheme="minorHAnsi"/>
        </w:rPr>
        <w:t xml:space="preserve">ani z podmiotem partnerskim lub powiązanym w stosunku do </w:t>
      </w:r>
      <w:r w:rsidRPr="00EF6F38">
        <w:rPr>
          <w:rFonts w:asciiTheme="minorHAnsi" w:hAnsiTheme="minorHAnsi" w:cstheme="minorHAnsi"/>
          <w:iCs/>
        </w:rPr>
        <w:t xml:space="preserve">Pożyczkodawcy </w:t>
      </w:r>
      <w:r w:rsidRPr="00EF6F38">
        <w:rPr>
          <w:rFonts w:asciiTheme="minorHAnsi" w:hAnsiTheme="minorHAnsi" w:cstheme="minorHAnsi"/>
        </w:rPr>
        <w:t xml:space="preserve">dodatkowych umów, w szczególności na zakup dodatkowych usług, produktów finansowych lub ubezpieczeniowych. Powyższe nie dotyczy powszechnie występujących na rynku oraz standardowo stosowanych przez </w:t>
      </w:r>
      <w:r w:rsidR="001D3D39" w:rsidRPr="00EF6F38">
        <w:rPr>
          <w:rFonts w:asciiTheme="minorHAnsi" w:hAnsiTheme="minorHAnsi" w:cstheme="minorHAnsi"/>
        </w:rPr>
        <w:t>Pożyczkodawcę</w:t>
      </w:r>
      <w:r w:rsidRPr="00EF6F38">
        <w:rPr>
          <w:rFonts w:asciiTheme="minorHAnsi" w:hAnsiTheme="minorHAnsi" w:cstheme="minorHAnsi"/>
        </w:rPr>
        <w:t xml:space="preserve"> zabezpieczeń, ustanawianych przez </w:t>
      </w:r>
      <w:r w:rsidR="001D3D39" w:rsidRPr="00EF6F38">
        <w:rPr>
          <w:rFonts w:asciiTheme="minorHAnsi" w:hAnsiTheme="minorHAnsi" w:cstheme="minorHAnsi"/>
        </w:rPr>
        <w:t>Pożyczkobiorcę</w:t>
      </w:r>
      <w:r w:rsidRPr="00EF6F38">
        <w:rPr>
          <w:rFonts w:asciiTheme="minorHAnsi" w:hAnsiTheme="minorHAnsi" w:cstheme="minorHAnsi"/>
        </w:rPr>
        <w:t xml:space="preserve"> na rzecz </w:t>
      </w:r>
      <w:r w:rsidR="001D3D39" w:rsidRPr="00EF6F38">
        <w:rPr>
          <w:rFonts w:asciiTheme="minorHAnsi" w:hAnsiTheme="minorHAnsi" w:cstheme="minorHAnsi"/>
        </w:rPr>
        <w:t>Pożyczkodawcy</w:t>
      </w:r>
      <w:r w:rsidRPr="00EF6F38">
        <w:rPr>
          <w:rFonts w:asciiTheme="minorHAnsi" w:hAnsiTheme="minorHAnsi" w:cstheme="minorHAnsi"/>
        </w:rPr>
        <w:t xml:space="preserve"> w związku z zawieraną Umową Inwestycyjną, z zastrzeżeniem, iż w przypadku zabezpieczenia takiego jak cesja praw z polisy ubezpieczeniowej </w:t>
      </w:r>
      <w:r w:rsidR="001D3D39" w:rsidRPr="00EF6F38">
        <w:rPr>
          <w:rFonts w:asciiTheme="minorHAnsi" w:hAnsiTheme="minorHAnsi" w:cstheme="minorHAnsi"/>
        </w:rPr>
        <w:t>Pożyczkobiorcy</w:t>
      </w:r>
      <w:r w:rsidRPr="00EF6F38">
        <w:rPr>
          <w:rFonts w:asciiTheme="minorHAnsi" w:hAnsiTheme="minorHAnsi" w:cstheme="minorHAnsi"/>
        </w:rPr>
        <w:t xml:space="preserve"> ma możliwość wyboru oferty spośród ubezpieczycieli dostępnych na rynku.</w:t>
      </w:r>
    </w:p>
    <w:p w14:paraId="5574A7DF" w14:textId="0F7FD98A" w:rsidR="00E35A64" w:rsidRPr="00EF6F38" w:rsidRDefault="00E35A64" w:rsidP="00E35A64">
      <w:pPr>
        <w:numPr>
          <w:ilvl w:val="0"/>
          <w:numId w:val="9"/>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Wydatkowanie wszystkich środków Jednostkowej Pożyczki na przewidziane cele (bez względu na sposób uruchamiania pożyczki) musi zostać należycie udokumentowane w terminie 90 dni od dnia uruchomienia Jednostkowej Pożyczki, przy czym termin ten określa datę końcową, do której mogą być wystawiane i opłacone dokumenty potwierdzające wydatkowanie środków. W wyjątkowych i</w:t>
      </w:r>
      <w:r w:rsidR="00364421" w:rsidRPr="00EF6F38">
        <w:rPr>
          <w:rFonts w:asciiTheme="minorHAnsi" w:hAnsiTheme="minorHAnsi" w:cstheme="minorHAnsi"/>
          <w:iCs/>
          <w:lang w:eastAsia="pl-PL"/>
        </w:rPr>
        <w:t> </w:t>
      </w:r>
      <w:r w:rsidRPr="00EF6F38">
        <w:rPr>
          <w:rFonts w:asciiTheme="minorHAnsi" w:hAnsiTheme="minorHAnsi" w:cstheme="minorHAnsi"/>
          <w:iCs/>
          <w:lang w:eastAsia="pl-PL"/>
        </w:rPr>
        <w:t xml:space="preserve">odpowiednio uzasadnionych przypadkach, w tym biorąc pod uwagę charakter Inwestycji Końcowej, na wniosek Pożyczkobiorcy, Pożyczkodawca może wydłużyć ten termin maksymalnie o 90 dni. </w:t>
      </w:r>
    </w:p>
    <w:p w14:paraId="3565ECD9" w14:textId="538F08D8" w:rsidR="00E35A64" w:rsidRPr="00EF6F38" w:rsidRDefault="00E35A64" w:rsidP="00C14606">
      <w:pPr>
        <w:pStyle w:val="Akapitzlist"/>
        <w:numPr>
          <w:ilvl w:val="0"/>
          <w:numId w:val="9"/>
        </w:numPr>
        <w:spacing w:after="120" w:line="23" w:lineRule="atLeast"/>
        <w:contextualSpacing w:val="0"/>
        <w:jc w:val="both"/>
      </w:pPr>
      <w:r w:rsidRPr="00EF6F38">
        <w:rPr>
          <w:rFonts w:asciiTheme="minorHAnsi" w:hAnsiTheme="minorHAnsi" w:cstheme="minorHAnsi"/>
          <w:iCs/>
          <w:lang w:eastAsia="pl-PL"/>
        </w:rPr>
        <w:t>Dokumentem potwierdzającym wydatkowanie środków zgodnie z przeznaczeniem, na jakie zostały przyznane jest faktura lub dokument księgowy o równoważnej wartości dowodowej, wraz z dokumentem</w:t>
      </w:r>
      <w:r w:rsidRPr="00EF6F38">
        <w:rPr>
          <w:rFonts w:asciiTheme="minorHAnsi" w:hAnsiTheme="minorHAnsi" w:cstheme="minorHAnsi"/>
        </w:rPr>
        <w:t xml:space="preserve">/dowodem potwierdzającym dokonanie zapłaty. Dokument, o którym mowa w zdaniu </w:t>
      </w:r>
      <w:r w:rsidRPr="00EF6F38">
        <w:rPr>
          <w:rFonts w:asciiTheme="minorHAnsi" w:hAnsiTheme="minorHAnsi" w:cstheme="minorHAnsi"/>
        </w:rPr>
        <w:lastRenderedPageBreak/>
        <w:t xml:space="preserve">poprzednim powinien być wystawiony nie wcześniej niż w dniu złożenia Wniosku. </w:t>
      </w:r>
      <w:r w:rsidR="00C14606" w:rsidRPr="00EF6F38">
        <w:rPr>
          <w:rFonts w:asciiTheme="minorHAnsi" w:hAnsiTheme="minorHAnsi" w:cstheme="minorHAnsi"/>
        </w:rPr>
        <w:t xml:space="preserve"> </w:t>
      </w:r>
      <w:r w:rsidR="00C14606" w:rsidRPr="00EF6F38">
        <w:rPr>
          <w:rFonts w:asciiTheme="minorHAnsi" w:hAnsiTheme="minorHAnsi"/>
        </w:rPr>
        <w:t xml:space="preserve">z zastrzeżeniem spełnienia warunku określonego w Części III pkt </w:t>
      </w:r>
      <w:r w:rsidR="00E43567" w:rsidRPr="00EF6F38">
        <w:rPr>
          <w:rFonts w:asciiTheme="minorHAnsi" w:hAnsiTheme="minorHAnsi"/>
        </w:rPr>
        <w:t>4</w:t>
      </w:r>
      <w:r w:rsidR="00C14606" w:rsidRPr="00EF6F38">
        <w:rPr>
          <w:rFonts w:asciiTheme="minorHAnsi" w:hAnsiTheme="minorHAnsi"/>
        </w:rPr>
        <w:t>.</w:t>
      </w:r>
    </w:p>
    <w:p w14:paraId="02F21C4C" w14:textId="3E2E5ECD" w:rsidR="00E35A64" w:rsidRPr="00EF6F38" w:rsidRDefault="00E35A64" w:rsidP="00E35A64">
      <w:pPr>
        <w:numPr>
          <w:ilvl w:val="0"/>
          <w:numId w:val="9"/>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Wraz z dokumentami, o których mowa w pkt. 3, Pożyczko</w:t>
      </w:r>
      <w:r w:rsidR="00457152" w:rsidRPr="00EF6F38">
        <w:rPr>
          <w:rFonts w:asciiTheme="minorHAnsi" w:hAnsiTheme="minorHAnsi" w:cstheme="minorHAnsi"/>
          <w:iCs/>
          <w:lang w:eastAsia="pl-PL"/>
        </w:rPr>
        <w:t>dawca</w:t>
      </w:r>
      <w:r w:rsidRPr="00EF6F38">
        <w:rPr>
          <w:rFonts w:asciiTheme="minorHAnsi" w:hAnsiTheme="minorHAnsi" w:cstheme="minorHAnsi"/>
          <w:iCs/>
          <w:lang w:eastAsia="pl-PL"/>
        </w:rPr>
        <w:t xml:space="preserve"> pozyskuje od Pożyczko</w:t>
      </w:r>
      <w:r w:rsidR="00457152" w:rsidRPr="00EF6F38">
        <w:rPr>
          <w:rFonts w:asciiTheme="minorHAnsi" w:hAnsiTheme="minorHAnsi" w:cstheme="minorHAnsi"/>
          <w:iCs/>
          <w:lang w:eastAsia="pl-PL"/>
        </w:rPr>
        <w:t>biorcy</w:t>
      </w:r>
      <w:r w:rsidRPr="00EF6F38">
        <w:rPr>
          <w:rFonts w:asciiTheme="minorHAnsi" w:hAnsiTheme="minorHAnsi" w:cstheme="minorHAnsi"/>
          <w:iCs/>
          <w:lang w:eastAsia="pl-PL"/>
        </w:rPr>
        <w:t xml:space="preserve"> informacje na temat wysokości wniesionego przez niego wkładu własnego do Inwestycji Końcowej (jeśli został wniesiony). </w:t>
      </w:r>
    </w:p>
    <w:p w14:paraId="1D345106" w14:textId="77777777" w:rsidR="00E35A64" w:rsidRPr="00EF6F38" w:rsidRDefault="00E35A64" w:rsidP="00E35A64">
      <w:pPr>
        <w:numPr>
          <w:ilvl w:val="0"/>
          <w:numId w:val="9"/>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1B8842BA" w14:textId="67A84753" w:rsidR="00E35A64" w:rsidRPr="00EF6F38" w:rsidRDefault="00E35A64" w:rsidP="00E35A64">
      <w:pPr>
        <w:numPr>
          <w:ilvl w:val="0"/>
          <w:numId w:val="9"/>
        </w:numPr>
        <w:spacing w:before="40" w:after="120"/>
        <w:jc w:val="both"/>
        <w:rPr>
          <w:rFonts w:asciiTheme="minorHAnsi" w:hAnsiTheme="minorHAnsi" w:cstheme="minorHAnsi"/>
          <w:iCs/>
          <w:lang w:eastAsia="pl-PL"/>
        </w:rPr>
      </w:pPr>
      <w:r w:rsidRPr="00EF6F38">
        <w:rPr>
          <w:rFonts w:asciiTheme="minorHAnsi" w:hAnsiTheme="minorHAnsi" w:cstheme="minorHAnsi"/>
          <w:iCs/>
          <w:lang w:eastAsia="pl-PL"/>
        </w:rPr>
        <w:t>Wszelka dokumentacja potwierdzająca wydatkowanie środków przez Pożyczkobiorcę powinna być, co do zasady, sporządzona w języku polskim, a w przypadku dokumentów wystawianych w języku innym niż język polski, w razie istnienia wątpliwości co do treści tych dokumentów, powinna zostać przetłumaczona na język polski.</w:t>
      </w:r>
    </w:p>
    <w:p w14:paraId="4BF17F9B" w14:textId="2C35477A" w:rsidR="005C057F" w:rsidRPr="00EF6F38" w:rsidRDefault="005C057F" w:rsidP="00E35A64">
      <w:pPr>
        <w:pStyle w:val="Nagwek1"/>
        <w:numPr>
          <w:ilvl w:val="0"/>
          <w:numId w:val="7"/>
        </w:numPr>
        <w:spacing w:after="120"/>
        <w:ind w:left="714" w:hanging="357"/>
        <w:rPr>
          <w:rFonts w:asciiTheme="minorHAnsi" w:hAnsiTheme="minorHAnsi" w:cstheme="minorHAnsi"/>
          <w:b/>
          <w:color w:val="auto"/>
          <w:sz w:val="24"/>
          <w:szCs w:val="24"/>
        </w:rPr>
      </w:pPr>
      <w:r w:rsidRPr="00EF6F38">
        <w:rPr>
          <w:rFonts w:asciiTheme="minorHAnsi" w:hAnsiTheme="minorHAnsi" w:cstheme="minorHAnsi"/>
          <w:b/>
          <w:color w:val="auto"/>
          <w:sz w:val="24"/>
          <w:szCs w:val="24"/>
        </w:rPr>
        <w:t xml:space="preserve">Zasady </w:t>
      </w:r>
      <w:r w:rsidR="00EE07F6" w:rsidRPr="00EF6F38">
        <w:rPr>
          <w:rFonts w:asciiTheme="minorHAnsi" w:hAnsiTheme="minorHAnsi" w:cstheme="minorHAnsi"/>
          <w:b/>
          <w:color w:val="auto"/>
          <w:sz w:val="24"/>
          <w:szCs w:val="24"/>
        </w:rPr>
        <w:t xml:space="preserve">odpłatności za udzielenie </w:t>
      </w:r>
      <w:r w:rsidR="000710BD" w:rsidRPr="00EF6F38">
        <w:rPr>
          <w:rFonts w:asciiTheme="minorHAnsi" w:hAnsiTheme="minorHAnsi" w:cstheme="minorHAnsi"/>
          <w:b/>
          <w:color w:val="auto"/>
          <w:sz w:val="24"/>
          <w:szCs w:val="24"/>
        </w:rPr>
        <w:t xml:space="preserve">Jednostkowych </w:t>
      </w:r>
      <w:r w:rsidR="00FD026B" w:rsidRPr="00EF6F38">
        <w:rPr>
          <w:rFonts w:asciiTheme="minorHAnsi" w:hAnsiTheme="minorHAnsi" w:cstheme="minorHAnsi"/>
          <w:b/>
          <w:color w:val="auto"/>
          <w:sz w:val="24"/>
          <w:szCs w:val="24"/>
        </w:rPr>
        <w:t>Pożyczek</w:t>
      </w:r>
    </w:p>
    <w:p w14:paraId="0508E908" w14:textId="1254FABF" w:rsidR="00E35A64" w:rsidRPr="00EF6F38"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EF6F38">
        <w:rPr>
          <w:rFonts w:asciiTheme="minorHAnsi" w:hAnsiTheme="minorHAnsi" w:cstheme="minorHAnsi"/>
        </w:rPr>
        <w:t>Jednostkowe Pożyczki udzielane Pożyczkobiorcom mogą być oprocentowane na warunkach korzystniejszych niż rynkowe albo na warunkach rynkowych.</w:t>
      </w:r>
    </w:p>
    <w:p w14:paraId="5F10A6D8" w14:textId="77777777" w:rsidR="00F84179" w:rsidRPr="00EF6F38" w:rsidRDefault="00F84179" w:rsidP="000A6F7F">
      <w:pPr>
        <w:pStyle w:val="Akapitzlist"/>
        <w:keepNext/>
        <w:numPr>
          <w:ilvl w:val="0"/>
          <w:numId w:val="36"/>
        </w:numPr>
        <w:spacing w:after="120" w:line="240" w:lineRule="auto"/>
        <w:jc w:val="both"/>
      </w:pPr>
      <w:r w:rsidRPr="00EF6F38">
        <w:t>Oprocentowanie Pożyczki na warunkach korzystniejszych niż rynkowe ustalane jest zgodnie z:</w:t>
      </w:r>
    </w:p>
    <w:p w14:paraId="1CDD8736" w14:textId="097586C8" w:rsidR="00F84179" w:rsidRPr="00EF6F38" w:rsidRDefault="00F84179" w:rsidP="00F84179">
      <w:pPr>
        <w:numPr>
          <w:ilvl w:val="3"/>
          <w:numId w:val="32"/>
        </w:numPr>
        <w:spacing w:after="120" w:line="240" w:lineRule="auto"/>
        <w:ind w:left="851" w:hanging="425"/>
        <w:jc w:val="both"/>
      </w:pPr>
      <w:r w:rsidRPr="00EF6F38">
        <w:t xml:space="preserve">zasadami pomocy de </w:t>
      </w:r>
      <w:proofErr w:type="spellStart"/>
      <w:r w:rsidRPr="00EF6F38">
        <w:t>minimis</w:t>
      </w:r>
      <w:proofErr w:type="spellEnd"/>
      <w:r w:rsidRPr="00EF6F38">
        <w:rPr>
          <w:rStyle w:val="Odwoanieprzypisudolnego"/>
        </w:rPr>
        <w:footnoteReference w:id="12"/>
      </w:r>
      <w:r w:rsidRPr="00EF6F38">
        <w:t xml:space="preserve"> lub</w:t>
      </w:r>
    </w:p>
    <w:p w14:paraId="7998D4D1" w14:textId="1A2F9BE6" w:rsidR="00F84179" w:rsidRPr="00EF6F38" w:rsidRDefault="00F84179" w:rsidP="00F84179">
      <w:pPr>
        <w:numPr>
          <w:ilvl w:val="3"/>
          <w:numId w:val="32"/>
        </w:numPr>
        <w:spacing w:after="120" w:line="240" w:lineRule="auto"/>
        <w:ind w:left="851" w:hanging="425"/>
        <w:jc w:val="both"/>
      </w:pPr>
      <w:r w:rsidRPr="00EF6F38">
        <w:t>zasadami regionalnej pomocy inwestycyjnej</w:t>
      </w:r>
      <w:r w:rsidRPr="00EF6F38">
        <w:rPr>
          <w:vertAlign w:val="superscript"/>
        </w:rPr>
        <w:footnoteReference w:id="13"/>
      </w:r>
      <w:r w:rsidR="0095547B" w:rsidRPr="00EF6F38">
        <w:t>.</w:t>
      </w:r>
    </w:p>
    <w:p w14:paraId="208BC5E9" w14:textId="3B009DB0" w:rsidR="00E35A64" w:rsidRPr="00EF6F38"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EF6F38">
        <w:rPr>
          <w:rFonts w:asciiTheme="minorHAnsi" w:hAnsiTheme="minorHAnsi" w:cstheme="minorHAnsi"/>
        </w:rPr>
        <w:t>Oprocentowanie Jednostkowej Pożyczki na warunkach korzystniejszych niż rynkowe jest stałe w całym okresie jej obowiązywania i wynosi 2% w skali roku, z zastrzeżeniem pkt 3.</w:t>
      </w:r>
    </w:p>
    <w:p w14:paraId="08611D48" w14:textId="4F03731A" w:rsidR="00C36F8B" w:rsidRPr="00EF6F38" w:rsidRDefault="000072D8" w:rsidP="00E35A64">
      <w:pPr>
        <w:pStyle w:val="Akapitzlist"/>
        <w:numPr>
          <w:ilvl w:val="0"/>
          <w:numId w:val="15"/>
        </w:numPr>
        <w:spacing w:before="100" w:beforeAutospacing="1" w:after="120" w:line="23" w:lineRule="atLeast"/>
        <w:contextualSpacing w:val="0"/>
        <w:jc w:val="both"/>
        <w:rPr>
          <w:rFonts w:asciiTheme="minorHAnsi" w:hAnsiTheme="minorHAnsi" w:cstheme="minorHAnsi"/>
        </w:rPr>
      </w:pPr>
      <w:r w:rsidRPr="00EF6F38">
        <w:rPr>
          <w:rFonts w:asciiTheme="minorHAnsi" w:hAnsiTheme="minorHAnsi" w:cstheme="minorHAnsi"/>
        </w:rPr>
        <w:t xml:space="preserve">W przypadku obniżenia stopy bazowej określonej przez Komisję Europejską do poziomu poniżej </w:t>
      </w:r>
      <w:r w:rsidR="001C0F2A" w:rsidRPr="00EF6F38">
        <w:rPr>
          <w:rFonts w:asciiTheme="minorHAnsi" w:hAnsiTheme="minorHAnsi" w:cstheme="minorHAnsi"/>
        </w:rPr>
        <w:t>2%</w:t>
      </w:r>
      <w:r w:rsidRPr="00EF6F38">
        <w:rPr>
          <w:rFonts w:asciiTheme="minorHAnsi" w:hAnsiTheme="minorHAnsi" w:cstheme="minorHAnsi"/>
        </w:rPr>
        <w:t xml:space="preserve"> oprocentowanie Jednostkowej Pożyczki udzielanej na </w:t>
      </w:r>
      <w:r w:rsidR="00784ADD" w:rsidRPr="00EF6F38">
        <w:rPr>
          <w:rFonts w:asciiTheme="minorHAnsi" w:hAnsiTheme="minorHAnsi" w:cstheme="minorHAnsi"/>
        </w:rPr>
        <w:t>warunkach</w:t>
      </w:r>
      <w:r w:rsidRPr="00EF6F38">
        <w:rPr>
          <w:rFonts w:asciiTheme="minorHAnsi" w:hAnsiTheme="minorHAnsi" w:cstheme="minorHAnsi"/>
        </w:rPr>
        <w:t xml:space="preserve">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30187883" w14:textId="64CD3812" w:rsidR="009B17CF" w:rsidRPr="00EF6F38" w:rsidRDefault="009B17CF" w:rsidP="000A6F7F">
      <w:pPr>
        <w:pStyle w:val="Akapitzlist"/>
        <w:numPr>
          <w:ilvl w:val="0"/>
          <w:numId w:val="15"/>
        </w:numPr>
        <w:spacing w:after="120" w:line="23" w:lineRule="atLeast"/>
        <w:contextualSpacing w:val="0"/>
        <w:jc w:val="both"/>
        <w:rPr>
          <w:rFonts w:asciiTheme="minorHAnsi" w:hAnsiTheme="minorHAnsi" w:cstheme="minorHAnsi"/>
        </w:rPr>
      </w:pPr>
      <w:r w:rsidRPr="00EF6F38">
        <w:rPr>
          <w:rFonts w:asciiTheme="minorHAnsi" w:hAnsiTheme="minorHAnsi" w:cstheme="minorHAnsi"/>
        </w:rPr>
        <w:t xml:space="preserve">Oprocentowanie na </w:t>
      </w:r>
      <w:r w:rsidR="00C546EE" w:rsidRPr="00EF6F38">
        <w:rPr>
          <w:rFonts w:asciiTheme="minorHAnsi" w:hAnsiTheme="minorHAnsi" w:cstheme="minorHAnsi"/>
        </w:rPr>
        <w:t xml:space="preserve">warunkach </w:t>
      </w:r>
      <w:r w:rsidRPr="00EF6F38">
        <w:rPr>
          <w:rFonts w:asciiTheme="minorHAnsi" w:hAnsiTheme="minorHAnsi" w:cstheme="minorHAnsi"/>
        </w:rPr>
        <w:t>rynkowych ustalane jest w wysokości stopy referencyjnej obliczanej przy zastosowaniu obowiązującej stopy bazowej oraz marży ustalonej w oparciu o Komunikat Komisji Europejskiej</w:t>
      </w:r>
      <w:r w:rsidR="007D1498" w:rsidRPr="00EF6F38">
        <w:rPr>
          <w:rStyle w:val="Odwoanieprzypisudolnego"/>
          <w:rFonts w:asciiTheme="minorHAnsi" w:hAnsiTheme="minorHAnsi" w:cstheme="minorHAnsi"/>
        </w:rPr>
        <w:footnoteReference w:id="14"/>
      </w:r>
      <w:r w:rsidR="007D1498" w:rsidRPr="00EF6F38">
        <w:rPr>
          <w:rFonts w:asciiTheme="minorHAnsi" w:hAnsiTheme="minorHAnsi" w:cstheme="minorHAnsi"/>
        </w:rPr>
        <w:t xml:space="preserve"> i może być udzielone, gdy nie jest możliwe udzielenie im wsparcia na warunkach korzystniejszych niż rynkowe</w:t>
      </w:r>
      <w:r w:rsidRPr="00EF6F38">
        <w:rPr>
          <w:rFonts w:asciiTheme="minorHAnsi" w:hAnsiTheme="minorHAnsi" w:cstheme="minorHAnsi"/>
        </w:rPr>
        <w:t>.</w:t>
      </w:r>
    </w:p>
    <w:p w14:paraId="02C52528" w14:textId="78B5193B" w:rsidR="007D1498" w:rsidRPr="00EF6F38" w:rsidRDefault="007D1498" w:rsidP="007D1498">
      <w:pPr>
        <w:pStyle w:val="Akapitzlist"/>
        <w:numPr>
          <w:ilvl w:val="0"/>
          <w:numId w:val="15"/>
        </w:numPr>
        <w:spacing w:after="120" w:line="23" w:lineRule="atLeast"/>
        <w:contextualSpacing w:val="0"/>
        <w:jc w:val="both"/>
        <w:rPr>
          <w:rFonts w:asciiTheme="minorHAnsi" w:hAnsiTheme="minorHAnsi" w:cstheme="minorHAnsi"/>
        </w:rPr>
      </w:pPr>
      <w:r w:rsidRPr="00EF6F38">
        <w:rPr>
          <w:rFonts w:asciiTheme="minorHAnsi" w:hAnsiTheme="minorHAnsi" w:cstheme="minorHAnsi"/>
        </w:rPr>
        <w:t>Wartość pomocy stanowi ekwiwalent dotacji brutto</w:t>
      </w:r>
      <w:r w:rsidRPr="00EF6F38">
        <w:rPr>
          <w:rStyle w:val="Odwoanieprzypisudolnego"/>
          <w:rFonts w:asciiTheme="minorHAnsi" w:hAnsiTheme="minorHAnsi" w:cstheme="minorHAnsi"/>
        </w:rPr>
        <w:footnoteReference w:id="15"/>
      </w:r>
    </w:p>
    <w:p w14:paraId="35D4026C" w14:textId="412E5EDD" w:rsidR="009B17CF" w:rsidRPr="0068521C" w:rsidRDefault="009B17CF" w:rsidP="00E35A64">
      <w:pPr>
        <w:pStyle w:val="Akapitzlist"/>
        <w:numPr>
          <w:ilvl w:val="0"/>
          <w:numId w:val="15"/>
        </w:numPr>
        <w:spacing w:after="120" w:line="23" w:lineRule="atLeast"/>
        <w:contextualSpacing w:val="0"/>
        <w:jc w:val="both"/>
        <w:rPr>
          <w:rFonts w:asciiTheme="minorHAnsi" w:hAnsiTheme="minorHAnsi" w:cstheme="minorHAnsi"/>
        </w:rPr>
      </w:pPr>
      <w:r w:rsidRPr="00EF6F38">
        <w:rPr>
          <w:rFonts w:asciiTheme="minorHAnsi" w:hAnsiTheme="minorHAnsi" w:cstheme="minorHAnsi"/>
        </w:rPr>
        <w:lastRenderedPageBreak/>
        <w:t xml:space="preserve">W ramach udzielanych Jednostkowych Pożyczek nie występują opłaty związane z udzieleniem pożyczki i jej standardową obsługą. Czynności wykraczające poza ten zakres, przede wszystkim w przypadku niewywiązywania się przez </w:t>
      </w:r>
      <w:r w:rsidR="00A73758" w:rsidRPr="00EF6F38">
        <w:rPr>
          <w:rFonts w:asciiTheme="minorHAnsi" w:hAnsiTheme="minorHAnsi" w:cstheme="minorHAnsi"/>
        </w:rPr>
        <w:t xml:space="preserve">Pożyczkodawcę </w:t>
      </w:r>
      <w:r w:rsidRPr="00EF6F38">
        <w:rPr>
          <w:rFonts w:asciiTheme="minorHAnsi" w:hAnsiTheme="minorHAnsi" w:cstheme="minorHAnsi"/>
        </w:rPr>
        <w:t xml:space="preserve"> z warunków Umowy Inwestycyjnej, występowania nierozliczonych wydatków, zaległości w spłacie, konieczności podejmowania działań windykacyjnych (zgodnie z postanowieniami Umowy) mogą przyczynić się do wystąpienia dodatkowych opłat i kosztów po stronie Ostatecznego Odbiorcy, co Partner Finansujący powinien określić </w:t>
      </w:r>
      <w:r w:rsidR="00A73758" w:rsidRPr="00EF6F38">
        <w:rPr>
          <w:rFonts w:asciiTheme="minorHAnsi" w:hAnsiTheme="minorHAnsi" w:cstheme="minorHAnsi"/>
        </w:rPr>
        <w:br/>
      </w:r>
      <w:r w:rsidRPr="0068521C">
        <w:rPr>
          <w:rFonts w:asciiTheme="minorHAnsi" w:hAnsiTheme="minorHAnsi" w:cstheme="minorHAnsi"/>
        </w:rPr>
        <w:t xml:space="preserve">w postanowieniach Umów Inwestycyjnych oraz </w:t>
      </w:r>
      <w:r w:rsidR="004A3549" w:rsidRPr="0068521C">
        <w:rPr>
          <w:rFonts w:asciiTheme="minorHAnsi" w:hAnsiTheme="minorHAnsi" w:cstheme="minorHAnsi"/>
        </w:rPr>
        <w:t>t</w:t>
      </w:r>
      <w:r w:rsidRPr="0068521C">
        <w:rPr>
          <w:rFonts w:asciiTheme="minorHAnsi" w:hAnsiTheme="minorHAnsi" w:cstheme="minorHAnsi"/>
        </w:rPr>
        <w:t>aryfie prowizji i opłat.</w:t>
      </w:r>
    </w:p>
    <w:p w14:paraId="1A360398" w14:textId="3193FF23" w:rsidR="004103A6" w:rsidRPr="0068521C" w:rsidRDefault="004103A6" w:rsidP="00E35A64">
      <w:pPr>
        <w:pStyle w:val="Nagwek1"/>
        <w:numPr>
          <w:ilvl w:val="0"/>
          <w:numId w:val="7"/>
        </w:numPr>
        <w:rPr>
          <w:rFonts w:asciiTheme="minorHAnsi" w:hAnsiTheme="minorHAnsi" w:cstheme="minorHAnsi"/>
          <w:b/>
          <w:color w:val="auto"/>
          <w:sz w:val="24"/>
          <w:szCs w:val="24"/>
        </w:rPr>
      </w:pPr>
      <w:r w:rsidRPr="0068521C">
        <w:rPr>
          <w:rFonts w:asciiTheme="minorHAnsi" w:hAnsiTheme="minorHAnsi" w:cstheme="minorHAnsi"/>
          <w:b/>
          <w:color w:val="auto"/>
          <w:sz w:val="24"/>
          <w:szCs w:val="24"/>
        </w:rPr>
        <w:t>Szczegółowe zasady</w:t>
      </w:r>
      <w:r w:rsidR="00B47BFB" w:rsidRPr="0068521C">
        <w:rPr>
          <w:rFonts w:asciiTheme="minorHAnsi" w:hAnsiTheme="minorHAnsi" w:cstheme="minorHAnsi"/>
          <w:b/>
          <w:color w:val="auto"/>
          <w:sz w:val="24"/>
          <w:szCs w:val="24"/>
        </w:rPr>
        <w:t xml:space="preserve"> dotyczące</w:t>
      </w:r>
      <w:r w:rsidRPr="0068521C">
        <w:rPr>
          <w:rFonts w:asciiTheme="minorHAnsi" w:hAnsiTheme="minorHAnsi" w:cstheme="minorHAnsi"/>
          <w:b/>
          <w:color w:val="auto"/>
          <w:sz w:val="24"/>
          <w:szCs w:val="24"/>
        </w:rPr>
        <w:t xml:space="preserve"> </w:t>
      </w:r>
      <w:r w:rsidR="00330F3D">
        <w:rPr>
          <w:rFonts w:asciiTheme="minorHAnsi" w:hAnsiTheme="minorHAnsi" w:cstheme="minorHAnsi"/>
          <w:b/>
          <w:color w:val="auto"/>
          <w:sz w:val="24"/>
          <w:szCs w:val="24"/>
        </w:rPr>
        <w:t>udzielania</w:t>
      </w:r>
      <w:r w:rsidR="00330F3D" w:rsidRPr="0068521C">
        <w:rPr>
          <w:rFonts w:asciiTheme="minorHAnsi" w:hAnsiTheme="minorHAnsi" w:cstheme="minorHAnsi"/>
          <w:b/>
          <w:color w:val="auto"/>
          <w:sz w:val="24"/>
          <w:szCs w:val="24"/>
        </w:rPr>
        <w:t xml:space="preserve"> </w:t>
      </w:r>
      <w:r w:rsidR="0004423B">
        <w:rPr>
          <w:rFonts w:asciiTheme="minorHAnsi" w:hAnsiTheme="minorHAnsi" w:cstheme="minorHAnsi"/>
          <w:b/>
          <w:color w:val="auto"/>
          <w:sz w:val="24"/>
          <w:szCs w:val="24"/>
        </w:rPr>
        <w:t>D</w:t>
      </w:r>
      <w:r w:rsidR="000B5DBF" w:rsidRPr="0068521C">
        <w:rPr>
          <w:rFonts w:asciiTheme="minorHAnsi" w:hAnsiTheme="minorHAnsi" w:cstheme="minorHAnsi"/>
          <w:b/>
          <w:color w:val="auto"/>
          <w:sz w:val="24"/>
          <w:szCs w:val="24"/>
        </w:rPr>
        <w:t>otacji</w:t>
      </w:r>
    </w:p>
    <w:p w14:paraId="17187CB8" w14:textId="53937CD9" w:rsidR="0062183A" w:rsidRPr="0068521C" w:rsidRDefault="009304C8" w:rsidP="00E35A64">
      <w:pPr>
        <w:pStyle w:val="Akapitzlist"/>
        <w:numPr>
          <w:ilvl w:val="0"/>
          <w:numId w:val="10"/>
        </w:numPr>
        <w:tabs>
          <w:tab w:val="left" w:pos="426"/>
        </w:tabs>
        <w:spacing w:before="240" w:after="120" w:line="23" w:lineRule="atLeast"/>
        <w:ind w:left="357" w:hanging="357"/>
        <w:contextualSpacing w:val="0"/>
        <w:jc w:val="both"/>
        <w:rPr>
          <w:rFonts w:asciiTheme="minorHAnsi" w:hAnsiTheme="minorHAnsi" w:cstheme="minorHAnsi"/>
        </w:rPr>
      </w:pPr>
      <w:r w:rsidRPr="0068521C">
        <w:rPr>
          <w:rFonts w:asciiTheme="minorHAnsi" w:hAnsiTheme="minorHAnsi" w:cstheme="minorHAnsi"/>
        </w:rPr>
        <w:t xml:space="preserve">Podmiot ubiegający się o Jednostkową Pożyczkę </w:t>
      </w:r>
      <w:r w:rsidR="00982653" w:rsidRPr="0068521C">
        <w:rPr>
          <w:rFonts w:asciiTheme="minorHAnsi" w:hAnsiTheme="minorHAnsi" w:cstheme="minorHAnsi"/>
        </w:rPr>
        <w:t xml:space="preserve">określa </w:t>
      </w:r>
      <w:r w:rsidR="00A067DF" w:rsidRPr="0068521C">
        <w:rPr>
          <w:rFonts w:asciiTheme="minorHAnsi" w:hAnsiTheme="minorHAnsi" w:cstheme="minorHAnsi"/>
        </w:rPr>
        <w:t xml:space="preserve">we Wniosku kwotę </w:t>
      </w:r>
      <w:r w:rsidR="0004423B">
        <w:rPr>
          <w:rFonts w:asciiTheme="minorHAnsi" w:hAnsiTheme="minorHAnsi" w:cstheme="minorHAnsi"/>
        </w:rPr>
        <w:t>D</w:t>
      </w:r>
      <w:r w:rsidR="000B5DBF" w:rsidRPr="0068521C">
        <w:rPr>
          <w:rFonts w:asciiTheme="minorHAnsi" w:hAnsiTheme="minorHAnsi" w:cstheme="minorHAnsi"/>
        </w:rPr>
        <w:t xml:space="preserve">otacji </w:t>
      </w:r>
      <w:r w:rsidR="00982653" w:rsidRPr="0068521C">
        <w:rPr>
          <w:rFonts w:asciiTheme="minorHAnsi" w:hAnsiTheme="minorHAnsi" w:cstheme="minorHAnsi"/>
        </w:rPr>
        <w:t>o jaką wnioskuje</w:t>
      </w:r>
      <w:r w:rsidR="008035B9" w:rsidRPr="0068521C">
        <w:rPr>
          <w:rFonts w:asciiTheme="minorHAnsi" w:hAnsiTheme="minorHAnsi" w:cstheme="minorHAnsi"/>
        </w:rPr>
        <w:t>, biorąc pod uwagę warunki je</w:t>
      </w:r>
      <w:r w:rsidR="00826513">
        <w:rPr>
          <w:rFonts w:asciiTheme="minorHAnsi" w:hAnsiTheme="minorHAnsi" w:cstheme="minorHAnsi"/>
        </w:rPr>
        <w:t>j</w:t>
      </w:r>
      <w:r w:rsidR="008035B9" w:rsidRPr="0068521C">
        <w:rPr>
          <w:rFonts w:asciiTheme="minorHAnsi" w:hAnsiTheme="minorHAnsi" w:cstheme="minorHAnsi"/>
        </w:rPr>
        <w:t xml:space="preserve"> uzyskania określone w Części III pkt. </w:t>
      </w:r>
      <w:r w:rsidR="007E5307" w:rsidRPr="0068521C">
        <w:rPr>
          <w:rFonts w:asciiTheme="minorHAnsi" w:hAnsiTheme="minorHAnsi" w:cstheme="minorHAnsi"/>
        </w:rPr>
        <w:t>1</w:t>
      </w:r>
      <w:r w:rsidR="00982653" w:rsidRPr="0068521C">
        <w:rPr>
          <w:rFonts w:asciiTheme="minorHAnsi" w:hAnsiTheme="minorHAnsi" w:cstheme="minorHAnsi"/>
        </w:rPr>
        <w:t>.</w:t>
      </w:r>
    </w:p>
    <w:p w14:paraId="194C85F7" w14:textId="4708DF20" w:rsidR="0086155B" w:rsidRPr="0068521C" w:rsidRDefault="00971335"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68521C">
        <w:rPr>
          <w:rFonts w:asciiTheme="minorHAnsi" w:hAnsiTheme="minorHAnsi" w:cstheme="minorHAnsi"/>
        </w:rPr>
        <w:t xml:space="preserve">Partner Finansujący w ramach oceny dokumentacji aplikacyjnej weryfikuje </w:t>
      </w:r>
      <w:r w:rsidR="00EB217B" w:rsidRPr="0068521C">
        <w:rPr>
          <w:rFonts w:asciiTheme="minorHAnsi" w:hAnsiTheme="minorHAnsi" w:cstheme="minorHAnsi"/>
        </w:rPr>
        <w:t>czy wnioskodawca spełnia</w:t>
      </w:r>
      <w:r w:rsidR="00612E28" w:rsidRPr="0068521C">
        <w:rPr>
          <w:rFonts w:asciiTheme="minorHAnsi" w:hAnsiTheme="minorHAnsi" w:cstheme="minorHAnsi"/>
        </w:rPr>
        <w:t xml:space="preserve"> </w:t>
      </w:r>
      <w:r w:rsidR="009B7EFE" w:rsidRPr="0068521C">
        <w:rPr>
          <w:rFonts w:asciiTheme="minorHAnsi" w:hAnsiTheme="minorHAnsi" w:cstheme="minorHAnsi"/>
        </w:rPr>
        <w:t>warunk</w:t>
      </w:r>
      <w:r w:rsidR="00EB217B" w:rsidRPr="0068521C">
        <w:rPr>
          <w:rFonts w:asciiTheme="minorHAnsi" w:hAnsiTheme="minorHAnsi" w:cstheme="minorHAnsi"/>
        </w:rPr>
        <w:t>i</w:t>
      </w:r>
      <w:r w:rsidR="009B7EFE" w:rsidRPr="0068521C">
        <w:rPr>
          <w:rFonts w:asciiTheme="minorHAnsi" w:hAnsiTheme="minorHAnsi" w:cstheme="minorHAnsi"/>
        </w:rPr>
        <w:t xml:space="preserve"> </w:t>
      </w:r>
      <w:r w:rsidR="00EB217B" w:rsidRPr="0068521C">
        <w:rPr>
          <w:rFonts w:asciiTheme="minorHAnsi" w:hAnsiTheme="minorHAnsi" w:cstheme="minorHAnsi"/>
        </w:rPr>
        <w:t xml:space="preserve">umożliwiające </w:t>
      </w:r>
      <w:r w:rsidR="009B7EFE" w:rsidRPr="0068521C">
        <w:rPr>
          <w:rFonts w:asciiTheme="minorHAnsi" w:hAnsiTheme="minorHAnsi" w:cstheme="minorHAnsi"/>
        </w:rPr>
        <w:t xml:space="preserve">udzielenie </w:t>
      </w:r>
      <w:r w:rsidR="0004423B">
        <w:rPr>
          <w:rFonts w:asciiTheme="minorHAnsi" w:hAnsiTheme="minorHAnsi" w:cstheme="minorHAnsi"/>
        </w:rPr>
        <w:t>D</w:t>
      </w:r>
      <w:r w:rsidR="000B5DBF" w:rsidRPr="0068521C">
        <w:rPr>
          <w:rFonts w:asciiTheme="minorHAnsi" w:hAnsiTheme="minorHAnsi" w:cstheme="minorHAnsi"/>
        </w:rPr>
        <w:t>otacji</w:t>
      </w:r>
      <w:r w:rsidR="0086155B" w:rsidRPr="0068521C">
        <w:rPr>
          <w:rFonts w:asciiTheme="minorHAnsi" w:hAnsiTheme="minorHAnsi" w:cstheme="minorHAnsi"/>
        </w:rPr>
        <w:t>.</w:t>
      </w:r>
    </w:p>
    <w:p w14:paraId="2C54DF6A" w14:textId="53D34F5E" w:rsidR="0086155B" w:rsidRPr="0068521C" w:rsidRDefault="00EA76E1"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68521C">
        <w:rPr>
          <w:rFonts w:asciiTheme="minorHAnsi" w:hAnsiTheme="minorHAnsi" w:cstheme="minorHAnsi"/>
        </w:rPr>
        <w:t>W przypadku spełni</w:t>
      </w:r>
      <w:r w:rsidR="00287963" w:rsidRPr="0068521C">
        <w:rPr>
          <w:rFonts w:asciiTheme="minorHAnsi" w:hAnsiTheme="minorHAnsi" w:cstheme="minorHAnsi"/>
        </w:rPr>
        <w:t>a</w:t>
      </w:r>
      <w:r w:rsidRPr="0068521C">
        <w:rPr>
          <w:rFonts w:asciiTheme="minorHAnsi" w:hAnsiTheme="minorHAnsi" w:cstheme="minorHAnsi"/>
        </w:rPr>
        <w:t>nia warunk</w:t>
      </w:r>
      <w:r w:rsidR="00B537B2" w:rsidRPr="0068521C">
        <w:rPr>
          <w:rFonts w:asciiTheme="minorHAnsi" w:hAnsiTheme="minorHAnsi" w:cstheme="minorHAnsi"/>
        </w:rPr>
        <w:t>ów</w:t>
      </w:r>
      <w:r w:rsidR="008F373D" w:rsidRPr="0068521C">
        <w:rPr>
          <w:rFonts w:asciiTheme="minorHAnsi" w:hAnsiTheme="minorHAnsi" w:cstheme="minorHAnsi"/>
        </w:rPr>
        <w:t xml:space="preserve"> do</w:t>
      </w:r>
      <w:r w:rsidR="00B537B2" w:rsidRPr="0068521C">
        <w:rPr>
          <w:rFonts w:asciiTheme="minorHAnsi" w:hAnsiTheme="minorHAnsi" w:cstheme="minorHAnsi"/>
        </w:rPr>
        <w:t xml:space="preserve"> </w:t>
      </w:r>
      <w:r w:rsidR="00EB217B" w:rsidRPr="0068521C">
        <w:rPr>
          <w:rFonts w:asciiTheme="minorHAnsi" w:hAnsiTheme="minorHAnsi" w:cstheme="minorHAnsi"/>
        </w:rPr>
        <w:t xml:space="preserve">udzielenia </w:t>
      </w:r>
      <w:r w:rsidR="00826513">
        <w:rPr>
          <w:rFonts w:asciiTheme="minorHAnsi" w:hAnsiTheme="minorHAnsi" w:cstheme="minorHAnsi"/>
        </w:rPr>
        <w:t>D</w:t>
      </w:r>
      <w:r w:rsidR="000B5DBF" w:rsidRPr="0068521C">
        <w:rPr>
          <w:rFonts w:asciiTheme="minorHAnsi" w:hAnsiTheme="minorHAnsi" w:cstheme="minorHAnsi"/>
        </w:rPr>
        <w:t>otacji</w:t>
      </w:r>
      <w:r w:rsidR="00287963" w:rsidRPr="0068521C">
        <w:rPr>
          <w:rFonts w:asciiTheme="minorHAnsi" w:hAnsiTheme="minorHAnsi" w:cstheme="minorHAnsi"/>
        </w:rPr>
        <w:t>,</w:t>
      </w:r>
      <w:r w:rsidR="00B537B2" w:rsidRPr="0068521C">
        <w:rPr>
          <w:rFonts w:asciiTheme="minorHAnsi" w:hAnsiTheme="minorHAnsi" w:cstheme="minorHAnsi"/>
        </w:rPr>
        <w:t xml:space="preserve"> </w:t>
      </w:r>
      <w:r w:rsidR="00B253F5" w:rsidRPr="0068521C">
        <w:rPr>
          <w:rFonts w:asciiTheme="minorHAnsi" w:hAnsiTheme="minorHAnsi" w:cstheme="minorHAnsi"/>
        </w:rPr>
        <w:t>w Umowie Inwestycyjnej określana jest je</w:t>
      </w:r>
      <w:r w:rsidR="00826513">
        <w:rPr>
          <w:rFonts w:asciiTheme="minorHAnsi" w:hAnsiTheme="minorHAnsi" w:cstheme="minorHAnsi"/>
        </w:rPr>
        <w:t>j</w:t>
      </w:r>
      <w:r w:rsidR="00B253F5" w:rsidRPr="0068521C">
        <w:rPr>
          <w:rFonts w:asciiTheme="minorHAnsi" w:hAnsiTheme="minorHAnsi" w:cstheme="minorHAnsi"/>
        </w:rPr>
        <w:t xml:space="preserve"> </w:t>
      </w:r>
      <w:r w:rsidR="00EE5EE9" w:rsidRPr="0068521C">
        <w:rPr>
          <w:rFonts w:asciiTheme="minorHAnsi" w:hAnsiTheme="minorHAnsi" w:cstheme="minorHAnsi"/>
        </w:rPr>
        <w:t>kwota</w:t>
      </w:r>
      <w:r w:rsidR="00586C61" w:rsidRPr="0068521C">
        <w:rPr>
          <w:rFonts w:asciiTheme="minorHAnsi" w:hAnsiTheme="minorHAnsi" w:cstheme="minorHAnsi"/>
        </w:rPr>
        <w:t xml:space="preserve"> jaka </w:t>
      </w:r>
      <w:r w:rsidR="00EB4AC1" w:rsidRPr="0068521C">
        <w:rPr>
          <w:rFonts w:asciiTheme="minorHAnsi" w:hAnsiTheme="minorHAnsi" w:cstheme="minorHAnsi"/>
        </w:rPr>
        <w:t>została</w:t>
      </w:r>
      <w:r w:rsidR="00586C61" w:rsidRPr="0068521C">
        <w:rPr>
          <w:rFonts w:asciiTheme="minorHAnsi" w:hAnsiTheme="minorHAnsi" w:cstheme="minorHAnsi"/>
        </w:rPr>
        <w:t xml:space="preserve"> </w:t>
      </w:r>
      <w:r w:rsidR="00B54E29" w:rsidRPr="0068521C">
        <w:rPr>
          <w:rFonts w:asciiTheme="minorHAnsi" w:hAnsiTheme="minorHAnsi" w:cstheme="minorHAnsi"/>
        </w:rPr>
        <w:t>przyznana w odniesieniu do danej Jednostkowej Pożyczki</w:t>
      </w:r>
      <w:r w:rsidR="00E62AB4" w:rsidRPr="0068521C">
        <w:rPr>
          <w:rFonts w:asciiTheme="minorHAnsi" w:hAnsiTheme="minorHAnsi" w:cstheme="minorHAnsi"/>
        </w:rPr>
        <w:t xml:space="preserve"> </w:t>
      </w:r>
      <w:r w:rsidR="009322ED" w:rsidRPr="0068521C">
        <w:rPr>
          <w:rFonts w:asciiTheme="minorHAnsi" w:hAnsiTheme="minorHAnsi" w:cstheme="minorHAnsi"/>
        </w:rPr>
        <w:t xml:space="preserve">i warunki </w:t>
      </w:r>
      <w:r w:rsidR="00E62AB4" w:rsidRPr="0068521C">
        <w:rPr>
          <w:rFonts w:asciiTheme="minorHAnsi" w:hAnsiTheme="minorHAnsi" w:cstheme="minorHAnsi"/>
        </w:rPr>
        <w:t>zastosowania</w:t>
      </w:r>
      <w:r w:rsidR="00287963" w:rsidRPr="0068521C">
        <w:rPr>
          <w:rFonts w:asciiTheme="minorHAnsi" w:hAnsiTheme="minorHAnsi" w:cstheme="minorHAnsi"/>
        </w:rPr>
        <w:t xml:space="preserve"> określone poniżej</w:t>
      </w:r>
      <w:r w:rsidR="005C28AC" w:rsidRPr="0068521C">
        <w:rPr>
          <w:rFonts w:asciiTheme="minorHAnsi" w:hAnsiTheme="minorHAnsi" w:cstheme="minorHAnsi"/>
        </w:rPr>
        <w:t>.</w:t>
      </w:r>
    </w:p>
    <w:p w14:paraId="2DD4E09F" w14:textId="102B623A" w:rsidR="006629B7" w:rsidRPr="008743A0" w:rsidRDefault="0068521C"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8743A0">
        <w:rPr>
          <w:rFonts w:asciiTheme="minorHAnsi" w:hAnsiTheme="minorHAnsi" w:cstheme="minorHAnsi"/>
        </w:rPr>
        <w:t>D</w:t>
      </w:r>
      <w:r w:rsidR="00037B9F" w:rsidRPr="008743A0">
        <w:rPr>
          <w:rFonts w:asciiTheme="minorHAnsi" w:hAnsiTheme="minorHAnsi" w:cstheme="minorHAnsi"/>
        </w:rPr>
        <w:t xml:space="preserve">otacja </w:t>
      </w:r>
      <w:r w:rsidR="00B54E29" w:rsidRPr="008743A0">
        <w:rPr>
          <w:rFonts w:asciiTheme="minorHAnsi" w:hAnsiTheme="minorHAnsi" w:cstheme="minorHAnsi"/>
        </w:rPr>
        <w:t>stanowi pomoc</w:t>
      </w:r>
      <w:r w:rsidR="00DF3E51" w:rsidRPr="008743A0">
        <w:rPr>
          <w:rFonts w:asciiTheme="minorHAnsi" w:hAnsiTheme="minorHAnsi" w:cstheme="minorHAnsi"/>
        </w:rPr>
        <w:t xml:space="preserve"> de </w:t>
      </w:r>
      <w:proofErr w:type="spellStart"/>
      <w:r w:rsidR="00DF3E51" w:rsidRPr="008743A0">
        <w:rPr>
          <w:rFonts w:asciiTheme="minorHAnsi" w:hAnsiTheme="minorHAnsi" w:cstheme="minorHAnsi"/>
        </w:rPr>
        <w:t>minimis</w:t>
      </w:r>
      <w:proofErr w:type="spellEnd"/>
      <w:r w:rsidR="00DF3E51" w:rsidRPr="008743A0">
        <w:rPr>
          <w:rFonts w:asciiTheme="minorHAnsi" w:hAnsiTheme="minorHAnsi" w:cstheme="minorHAnsi"/>
        </w:rPr>
        <w:t xml:space="preserve"> albo</w:t>
      </w:r>
      <w:r w:rsidR="00114AF7" w:rsidRPr="008743A0">
        <w:rPr>
          <w:rFonts w:asciiTheme="minorHAnsi" w:hAnsiTheme="minorHAnsi" w:cstheme="minorHAnsi"/>
        </w:rPr>
        <w:t xml:space="preserve"> pomoc publiczną</w:t>
      </w:r>
      <w:r w:rsidR="00F273B3" w:rsidRPr="008743A0">
        <w:rPr>
          <w:rFonts w:asciiTheme="minorHAnsi" w:hAnsiTheme="minorHAnsi" w:cstheme="minorHAnsi"/>
        </w:rPr>
        <w:t>, która może być udzielona, jeżeli</w:t>
      </w:r>
      <w:r w:rsidR="00A71697" w:rsidRPr="008743A0">
        <w:rPr>
          <w:rFonts w:asciiTheme="minorHAnsi" w:hAnsiTheme="minorHAnsi" w:cstheme="minorHAnsi"/>
        </w:rPr>
        <w:t xml:space="preserve"> spełnione</w:t>
      </w:r>
      <w:r w:rsidR="00F273B3" w:rsidRPr="008743A0">
        <w:rPr>
          <w:rFonts w:asciiTheme="minorHAnsi" w:hAnsiTheme="minorHAnsi" w:cstheme="minorHAnsi"/>
        </w:rPr>
        <w:t xml:space="preserve"> są warunki przewidziane dla danej</w:t>
      </w:r>
      <w:r w:rsidR="00A71697" w:rsidRPr="008743A0">
        <w:rPr>
          <w:rFonts w:asciiTheme="minorHAnsi" w:hAnsiTheme="minorHAnsi" w:cstheme="minorHAnsi"/>
        </w:rPr>
        <w:t xml:space="preserve"> pomocy.</w:t>
      </w:r>
      <w:r w:rsidR="00F273B3" w:rsidRPr="008743A0">
        <w:rPr>
          <w:rFonts w:asciiTheme="minorHAnsi" w:hAnsiTheme="minorHAnsi" w:cstheme="minorHAnsi"/>
        </w:rPr>
        <w:t xml:space="preserve"> </w:t>
      </w:r>
      <w:r w:rsidR="00E741D9" w:rsidRPr="008743A0">
        <w:rPr>
          <w:rFonts w:asciiTheme="minorHAnsi" w:hAnsiTheme="minorHAnsi" w:cstheme="minorHAnsi"/>
        </w:rPr>
        <w:t xml:space="preserve">Kwota </w:t>
      </w:r>
      <w:r w:rsidR="0004423B" w:rsidRPr="008743A0">
        <w:rPr>
          <w:rFonts w:asciiTheme="minorHAnsi" w:hAnsiTheme="minorHAnsi" w:cstheme="minorHAnsi"/>
        </w:rPr>
        <w:t>D</w:t>
      </w:r>
      <w:r w:rsidR="00037B9F" w:rsidRPr="008743A0">
        <w:rPr>
          <w:rFonts w:asciiTheme="minorHAnsi" w:hAnsiTheme="minorHAnsi" w:cstheme="minorHAnsi"/>
        </w:rPr>
        <w:t>otacj</w:t>
      </w:r>
      <w:r w:rsidRPr="008743A0">
        <w:rPr>
          <w:rFonts w:asciiTheme="minorHAnsi" w:hAnsiTheme="minorHAnsi" w:cstheme="minorHAnsi"/>
        </w:rPr>
        <w:t>i</w:t>
      </w:r>
      <w:r w:rsidR="00037B9F" w:rsidRPr="008743A0">
        <w:rPr>
          <w:rFonts w:asciiTheme="minorHAnsi" w:hAnsiTheme="minorHAnsi" w:cstheme="minorHAnsi"/>
        </w:rPr>
        <w:t xml:space="preserve"> </w:t>
      </w:r>
      <w:r w:rsidR="00545B21" w:rsidRPr="008743A0">
        <w:rPr>
          <w:rFonts w:asciiTheme="minorHAnsi" w:hAnsiTheme="minorHAnsi" w:cstheme="minorHAnsi"/>
        </w:rPr>
        <w:t>stanowi jednocześnie wartość</w:t>
      </w:r>
      <w:r w:rsidR="00E741D9" w:rsidRPr="008743A0">
        <w:rPr>
          <w:rFonts w:asciiTheme="minorHAnsi" w:hAnsiTheme="minorHAnsi" w:cstheme="minorHAnsi"/>
        </w:rPr>
        <w:t xml:space="preserve"> udzielonej z tego tytułu pomocy</w:t>
      </w:r>
      <w:r w:rsidR="00545B21" w:rsidRPr="008743A0">
        <w:rPr>
          <w:rFonts w:asciiTheme="minorHAnsi" w:hAnsiTheme="minorHAnsi" w:cstheme="minorHAnsi"/>
        </w:rPr>
        <w:t>.</w:t>
      </w:r>
      <w:r w:rsidR="00CA2A58" w:rsidRPr="008743A0">
        <w:rPr>
          <w:rFonts w:asciiTheme="minorHAnsi" w:hAnsiTheme="minorHAnsi" w:cstheme="minorHAnsi"/>
        </w:rPr>
        <w:t xml:space="preserve"> </w:t>
      </w:r>
      <w:r w:rsidR="00D10706" w:rsidRPr="008743A0">
        <w:rPr>
          <w:rFonts w:asciiTheme="minorHAnsi" w:hAnsiTheme="minorHAnsi" w:cstheme="minorHAnsi"/>
        </w:rPr>
        <w:t xml:space="preserve">Pożyczkobiorca </w:t>
      </w:r>
      <w:r w:rsidR="00C907D8" w:rsidRPr="008743A0">
        <w:rPr>
          <w:rFonts w:asciiTheme="minorHAnsi" w:hAnsiTheme="minorHAnsi" w:cstheme="minorHAnsi"/>
        </w:rPr>
        <w:t>uzyskuje p</w:t>
      </w:r>
      <w:r w:rsidR="00CA2A58" w:rsidRPr="008743A0">
        <w:rPr>
          <w:rFonts w:asciiTheme="minorHAnsi" w:hAnsiTheme="minorHAnsi" w:cstheme="minorHAnsi"/>
        </w:rPr>
        <w:t xml:space="preserve">rawo do otrzymania pomocy w formie </w:t>
      </w:r>
      <w:r w:rsidR="0004423B" w:rsidRPr="008743A0">
        <w:rPr>
          <w:rFonts w:asciiTheme="minorHAnsi" w:hAnsiTheme="minorHAnsi" w:cstheme="minorHAnsi"/>
        </w:rPr>
        <w:t>D</w:t>
      </w:r>
      <w:r w:rsidRPr="008743A0">
        <w:rPr>
          <w:rFonts w:asciiTheme="minorHAnsi" w:hAnsiTheme="minorHAnsi" w:cstheme="minorHAnsi"/>
        </w:rPr>
        <w:t xml:space="preserve">otacji </w:t>
      </w:r>
      <w:r w:rsidR="00C907D8" w:rsidRPr="008743A0">
        <w:rPr>
          <w:rFonts w:asciiTheme="minorHAnsi" w:hAnsiTheme="minorHAnsi" w:cstheme="minorHAnsi"/>
        </w:rPr>
        <w:t>na podstawie zawartej</w:t>
      </w:r>
      <w:r w:rsidR="00F05191" w:rsidRPr="008743A0">
        <w:rPr>
          <w:rFonts w:asciiTheme="minorHAnsi" w:hAnsiTheme="minorHAnsi" w:cstheme="minorHAnsi"/>
        </w:rPr>
        <w:t xml:space="preserve"> Umowy Inwestycyjnej, z zastrzeżeniem pkt. </w:t>
      </w:r>
      <w:r w:rsidR="00D67E22" w:rsidRPr="008743A0">
        <w:rPr>
          <w:rFonts w:asciiTheme="minorHAnsi" w:hAnsiTheme="minorHAnsi" w:cstheme="minorHAnsi"/>
        </w:rPr>
        <w:t xml:space="preserve">6 i </w:t>
      </w:r>
      <w:r w:rsidR="00F05191" w:rsidRPr="008743A0">
        <w:rPr>
          <w:rFonts w:asciiTheme="minorHAnsi" w:hAnsiTheme="minorHAnsi" w:cstheme="minorHAnsi"/>
        </w:rPr>
        <w:t>7.</w:t>
      </w:r>
    </w:p>
    <w:p w14:paraId="44ED4143" w14:textId="7257CE41" w:rsidR="006629B7" w:rsidRPr="008743A0" w:rsidRDefault="00E56212"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8743A0">
        <w:rPr>
          <w:rFonts w:asciiTheme="minorHAnsi" w:hAnsiTheme="minorHAnsi" w:cstheme="minorHAnsi"/>
        </w:rPr>
        <w:t>Zastosowanie przyznanej Dotacji nastąpi poprzez zaliczenie jej na spłatę odpowiedniej części kapitału Jednostkowej Pożyczki</w:t>
      </w:r>
      <w:r w:rsidR="00330F3D" w:rsidRPr="008743A0">
        <w:rPr>
          <w:rFonts w:asciiTheme="minorHAnsi" w:hAnsiTheme="minorHAnsi" w:cstheme="minorHAnsi"/>
        </w:rPr>
        <w:t>,</w:t>
      </w:r>
      <w:r w:rsidRPr="008743A0" w:rsidDel="00E56212">
        <w:rPr>
          <w:rFonts w:asciiTheme="minorHAnsi" w:hAnsiTheme="minorHAnsi" w:cstheme="minorHAnsi"/>
        </w:rPr>
        <w:t xml:space="preserve"> </w:t>
      </w:r>
      <w:r w:rsidR="00DF3E51" w:rsidRPr="008743A0">
        <w:rPr>
          <w:rFonts w:asciiTheme="minorHAnsi" w:hAnsiTheme="minorHAnsi" w:cstheme="minorHAnsi"/>
        </w:rPr>
        <w:t>po zakończeniu</w:t>
      </w:r>
      <w:r w:rsidR="00A31494" w:rsidRPr="008743A0">
        <w:rPr>
          <w:rFonts w:asciiTheme="minorHAnsi" w:hAnsiTheme="minorHAnsi" w:cstheme="minorHAnsi"/>
        </w:rPr>
        <w:t xml:space="preserve"> realizacji I</w:t>
      </w:r>
      <w:r w:rsidR="00DF3E51" w:rsidRPr="008743A0">
        <w:rPr>
          <w:rFonts w:asciiTheme="minorHAnsi" w:hAnsiTheme="minorHAnsi" w:cstheme="minorHAnsi"/>
        </w:rPr>
        <w:t>nwestycji</w:t>
      </w:r>
      <w:r w:rsidR="00A31494" w:rsidRPr="008743A0">
        <w:rPr>
          <w:rFonts w:asciiTheme="minorHAnsi" w:hAnsiTheme="minorHAnsi" w:cstheme="minorHAnsi"/>
        </w:rPr>
        <w:t xml:space="preserve"> Końcowej</w:t>
      </w:r>
      <w:r w:rsidR="009314C7" w:rsidRPr="008743A0">
        <w:rPr>
          <w:rFonts w:asciiTheme="minorHAnsi" w:hAnsiTheme="minorHAnsi" w:cstheme="minorHAnsi"/>
        </w:rPr>
        <w:t>,</w:t>
      </w:r>
      <w:r w:rsidR="00945A40" w:rsidRPr="008743A0">
        <w:rPr>
          <w:rFonts w:asciiTheme="minorHAnsi" w:hAnsiTheme="minorHAnsi" w:cstheme="minorHAnsi"/>
        </w:rPr>
        <w:t xml:space="preserve"> przedstawieniu przez</w:t>
      </w:r>
      <w:r w:rsidR="00C8062A" w:rsidRPr="008743A0">
        <w:rPr>
          <w:rFonts w:asciiTheme="minorHAnsi" w:hAnsiTheme="minorHAnsi" w:cstheme="minorHAnsi"/>
        </w:rPr>
        <w:t xml:space="preserve"> </w:t>
      </w:r>
      <w:r w:rsidR="00FD142F" w:rsidRPr="008743A0">
        <w:rPr>
          <w:rFonts w:asciiTheme="minorHAnsi" w:hAnsiTheme="minorHAnsi" w:cstheme="minorHAnsi"/>
        </w:rPr>
        <w:t>Pożyczkobiorcę</w:t>
      </w:r>
      <w:r w:rsidR="00C8062A" w:rsidRPr="008743A0">
        <w:rPr>
          <w:rFonts w:asciiTheme="minorHAnsi" w:hAnsiTheme="minorHAnsi" w:cstheme="minorHAnsi"/>
        </w:rPr>
        <w:t xml:space="preserve"> </w:t>
      </w:r>
      <w:r w:rsidR="00881DF4" w:rsidRPr="008743A0">
        <w:rPr>
          <w:rFonts w:asciiTheme="minorHAnsi" w:hAnsiTheme="minorHAnsi" w:cstheme="minorHAnsi"/>
        </w:rPr>
        <w:t>dokumentów potwierdzających wydatkowanie środków zgodnie z</w:t>
      </w:r>
      <w:r w:rsidR="00E66B12" w:rsidRPr="008743A0">
        <w:rPr>
          <w:rFonts w:asciiTheme="minorHAnsi" w:hAnsiTheme="minorHAnsi" w:cstheme="minorHAnsi"/>
        </w:rPr>
        <w:t> </w:t>
      </w:r>
      <w:r w:rsidR="00881DF4" w:rsidRPr="008743A0">
        <w:rPr>
          <w:rFonts w:asciiTheme="minorHAnsi" w:hAnsiTheme="minorHAnsi" w:cstheme="minorHAnsi"/>
        </w:rPr>
        <w:t>przeznaczeniem</w:t>
      </w:r>
      <w:r w:rsidR="00593C95" w:rsidRPr="008743A0">
        <w:rPr>
          <w:rFonts w:asciiTheme="minorHAnsi" w:hAnsiTheme="minorHAnsi" w:cstheme="minorHAnsi"/>
        </w:rPr>
        <w:t xml:space="preserve"> (oraz ewentualnych innych dokumentów – jeśli dotyczy)</w:t>
      </w:r>
      <w:r w:rsidR="00DF3E51" w:rsidRPr="008743A0">
        <w:rPr>
          <w:rFonts w:asciiTheme="minorHAnsi" w:hAnsiTheme="minorHAnsi" w:cstheme="minorHAnsi"/>
        </w:rPr>
        <w:t xml:space="preserve"> </w:t>
      </w:r>
      <w:r w:rsidR="00881DF4" w:rsidRPr="008743A0">
        <w:rPr>
          <w:rFonts w:asciiTheme="minorHAnsi" w:hAnsiTheme="minorHAnsi" w:cstheme="minorHAnsi"/>
        </w:rPr>
        <w:t xml:space="preserve">i </w:t>
      </w:r>
      <w:r w:rsidR="00DF3E51" w:rsidRPr="008743A0">
        <w:rPr>
          <w:rFonts w:asciiTheme="minorHAnsi" w:hAnsiTheme="minorHAnsi" w:cstheme="minorHAnsi"/>
        </w:rPr>
        <w:t>zweryfikowaniu kwalifikowalności</w:t>
      </w:r>
      <w:r w:rsidR="00881DF4" w:rsidRPr="008743A0">
        <w:rPr>
          <w:rFonts w:asciiTheme="minorHAnsi" w:hAnsiTheme="minorHAnsi" w:cstheme="minorHAnsi"/>
        </w:rPr>
        <w:t xml:space="preserve"> tych wydatków przez </w:t>
      </w:r>
      <w:r w:rsidR="000B13DA" w:rsidRPr="008743A0">
        <w:rPr>
          <w:rFonts w:asciiTheme="minorHAnsi" w:hAnsiTheme="minorHAnsi" w:cstheme="minorHAnsi"/>
        </w:rPr>
        <w:t xml:space="preserve">Pożyczkodawcę </w:t>
      </w:r>
      <w:r w:rsidR="00FA0437" w:rsidRPr="008743A0">
        <w:rPr>
          <w:rFonts w:asciiTheme="minorHAnsi" w:hAnsiTheme="minorHAnsi" w:cstheme="minorHAnsi"/>
        </w:rPr>
        <w:t>.</w:t>
      </w:r>
      <w:r w:rsidR="003D78A8" w:rsidRPr="008743A0">
        <w:rPr>
          <w:rFonts w:asciiTheme="minorHAnsi" w:hAnsiTheme="minorHAnsi" w:cstheme="minorHAnsi"/>
        </w:rPr>
        <w:t xml:space="preserve"> </w:t>
      </w:r>
      <w:r w:rsidR="003D78A8" w:rsidRPr="008743A0">
        <w:rPr>
          <w:rFonts w:asciiTheme="minorHAnsi" w:hAnsiTheme="minorHAnsi"/>
        </w:rPr>
        <w:t xml:space="preserve">W przypadku </w:t>
      </w:r>
      <w:r w:rsidR="000B13DA" w:rsidRPr="008743A0">
        <w:rPr>
          <w:rFonts w:asciiTheme="minorHAnsi" w:hAnsiTheme="minorHAnsi"/>
        </w:rPr>
        <w:t>D</w:t>
      </w:r>
      <w:r w:rsidR="00037B9F" w:rsidRPr="008743A0">
        <w:rPr>
          <w:rFonts w:asciiTheme="minorHAnsi" w:hAnsiTheme="minorHAnsi"/>
        </w:rPr>
        <w:t>otac</w:t>
      </w:r>
      <w:r w:rsidR="00DE1623" w:rsidRPr="008743A0">
        <w:rPr>
          <w:rFonts w:asciiTheme="minorHAnsi" w:hAnsiTheme="minorHAnsi"/>
        </w:rPr>
        <w:t>ji</w:t>
      </w:r>
      <w:r w:rsidR="00330F3D" w:rsidRPr="008743A0">
        <w:rPr>
          <w:rFonts w:asciiTheme="minorHAnsi" w:hAnsiTheme="minorHAnsi"/>
        </w:rPr>
        <w:t>,</w:t>
      </w:r>
      <w:r w:rsidR="00037B9F" w:rsidRPr="008743A0">
        <w:rPr>
          <w:rFonts w:asciiTheme="minorHAnsi" w:hAnsiTheme="minorHAnsi"/>
        </w:rPr>
        <w:t xml:space="preserve"> </w:t>
      </w:r>
      <w:r w:rsidR="003D78A8" w:rsidRPr="008743A0">
        <w:rPr>
          <w:rFonts w:asciiTheme="minorHAnsi" w:hAnsiTheme="minorHAnsi"/>
        </w:rPr>
        <w:t>o któr</w:t>
      </w:r>
      <w:r w:rsidR="00C8062A" w:rsidRPr="008743A0">
        <w:rPr>
          <w:rFonts w:asciiTheme="minorHAnsi" w:hAnsiTheme="minorHAnsi"/>
        </w:rPr>
        <w:t>ej</w:t>
      </w:r>
      <w:r w:rsidR="003D78A8" w:rsidRPr="008743A0">
        <w:rPr>
          <w:rFonts w:asciiTheme="minorHAnsi" w:hAnsiTheme="minorHAnsi"/>
        </w:rPr>
        <w:t xml:space="preserve"> mowa w Części  II  pkt. 1. </w:t>
      </w:r>
      <w:proofErr w:type="spellStart"/>
      <w:r w:rsidR="003D78A8" w:rsidRPr="008743A0">
        <w:rPr>
          <w:rFonts w:asciiTheme="minorHAnsi" w:hAnsiTheme="minorHAnsi"/>
        </w:rPr>
        <w:t>ppkt</w:t>
      </w:r>
      <w:proofErr w:type="spellEnd"/>
      <w:r w:rsidR="003D78A8" w:rsidRPr="008743A0">
        <w:rPr>
          <w:rFonts w:asciiTheme="minorHAnsi" w:hAnsiTheme="minorHAnsi"/>
        </w:rPr>
        <w:t xml:space="preserve">. 2  </w:t>
      </w:r>
      <w:r w:rsidR="007772A6" w:rsidRPr="008743A0">
        <w:rPr>
          <w:rFonts w:asciiTheme="minorHAnsi" w:hAnsiTheme="minorHAnsi"/>
        </w:rPr>
        <w:t xml:space="preserve"> jej </w:t>
      </w:r>
      <w:r w:rsidRPr="008743A0">
        <w:rPr>
          <w:rFonts w:asciiTheme="minorHAnsi" w:hAnsiTheme="minorHAnsi"/>
        </w:rPr>
        <w:t>zastosowanie</w:t>
      </w:r>
      <w:r w:rsidR="00330F3D" w:rsidRPr="008743A0">
        <w:rPr>
          <w:rFonts w:asciiTheme="minorHAnsi" w:hAnsiTheme="minorHAnsi"/>
        </w:rPr>
        <w:t xml:space="preserve"> </w:t>
      </w:r>
      <w:r w:rsidR="000B13DA" w:rsidRPr="008743A0">
        <w:rPr>
          <w:rFonts w:asciiTheme="minorHAnsi" w:hAnsiTheme="minorHAnsi"/>
        </w:rPr>
        <w:t xml:space="preserve"> </w:t>
      </w:r>
      <w:r w:rsidR="003D78A8" w:rsidRPr="008743A0">
        <w:rPr>
          <w:rFonts w:asciiTheme="minorHAnsi" w:hAnsiTheme="minorHAnsi"/>
        </w:rPr>
        <w:t>nastąpi 12 miesięcy od zakończenia inwestycji.</w:t>
      </w:r>
    </w:p>
    <w:p w14:paraId="69562E6E" w14:textId="0CC0363C" w:rsidR="00FA0437" w:rsidRPr="0068521C" w:rsidRDefault="00FA0437"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68521C">
        <w:rPr>
          <w:rFonts w:asciiTheme="minorHAnsi" w:hAnsiTheme="minorHAnsi" w:cstheme="minorHAnsi"/>
        </w:rPr>
        <w:t>W przypadku gdy:</w:t>
      </w:r>
    </w:p>
    <w:p w14:paraId="0C8E7E35" w14:textId="4EED636E" w:rsidR="008605E8" w:rsidRPr="0068521C" w:rsidRDefault="008605E8" w:rsidP="00E35A64">
      <w:pPr>
        <w:pStyle w:val="Akapitzlist"/>
        <w:numPr>
          <w:ilvl w:val="3"/>
          <w:numId w:val="6"/>
        </w:numPr>
        <w:tabs>
          <w:tab w:val="left" w:pos="567"/>
        </w:tabs>
        <w:ind w:left="851" w:hanging="284"/>
        <w:jc w:val="both"/>
        <w:rPr>
          <w:rFonts w:asciiTheme="minorHAnsi" w:hAnsiTheme="minorHAnsi" w:cstheme="minorHAnsi"/>
        </w:rPr>
      </w:pPr>
      <w:r w:rsidRPr="0068521C">
        <w:rPr>
          <w:rFonts w:asciiTheme="minorHAnsi" w:hAnsiTheme="minorHAnsi" w:cstheme="minorHAnsi"/>
        </w:rPr>
        <w:t>n</w:t>
      </w:r>
      <w:r w:rsidR="00FA0437" w:rsidRPr="0068521C">
        <w:rPr>
          <w:rFonts w:asciiTheme="minorHAnsi" w:hAnsiTheme="minorHAnsi" w:cstheme="minorHAnsi"/>
        </w:rPr>
        <w:t xml:space="preserve">ie dojdzie do wypłaty całej </w:t>
      </w:r>
      <w:r w:rsidR="00C03D30" w:rsidRPr="0068521C">
        <w:rPr>
          <w:rFonts w:asciiTheme="minorHAnsi" w:hAnsiTheme="minorHAnsi" w:cstheme="minorHAnsi"/>
        </w:rPr>
        <w:t xml:space="preserve">kwoty </w:t>
      </w:r>
      <w:r w:rsidRPr="0068521C">
        <w:rPr>
          <w:rFonts w:asciiTheme="minorHAnsi" w:hAnsiTheme="minorHAnsi" w:cstheme="minorHAnsi"/>
        </w:rPr>
        <w:t>J</w:t>
      </w:r>
      <w:r w:rsidR="00FA0437" w:rsidRPr="0068521C">
        <w:rPr>
          <w:rFonts w:asciiTheme="minorHAnsi" w:hAnsiTheme="minorHAnsi" w:cstheme="minorHAnsi"/>
        </w:rPr>
        <w:t>ednostkowej Poży</w:t>
      </w:r>
      <w:r w:rsidRPr="0068521C">
        <w:rPr>
          <w:rFonts w:asciiTheme="minorHAnsi" w:hAnsiTheme="minorHAnsi" w:cstheme="minorHAnsi"/>
        </w:rPr>
        <w:t>czki</w:t>
      </w:r>
      <w:r w:rsidR="00211D69" w:rsidRPr="0068521C">
        <w:rPr>
          <w:rFonts w:asciiTheme="minorHAnsi" w:hAnsiTheme="minorHAnsi" w:cstheme="minorHAnsi"/>
        </w:rPr>
        <w:t>,</w:t>
      </w:r>
    </w:p>
    <w:p w14:paraId="31BE5A4A" w14:textId="274AB22B" w:rsidR="00633186" w:rsidRPr="0068521C" w:rsidRDefault="00E66B12" w:rsidP="00E35A64">
      <w:pPr>
        <w:pStyle w:val="Akapitzlist"/>
        <w:numPr>
          <w:ilvl w:val="3"/>
          <w:numId w:val="6"/>
        </w:numPr>
        <w:tabs>
          <w:tab w:val="left" w:pos="567"/>
        </w:tabs>
        <w:ind w:left="851" w:hanging="284"/>
        <w:jc w:val="both"/>
        <w:rPr>
          <w:rFonts w:asciiTheme="minorHAnsi" w:hAnsiTheme="minorHAnsi" w:cstheme="minorHAnsi"/>
        </w:rPr>
      </w:pPr>
      <w:r w:rsidRPr="0068521C">
        <w:rPr>
          <w:rFonts w:asciiTheme="minorHAnsi" w:hAnsiTheme="minorHAnsi" w:cstheme="minorHAnsi"/>
        </w:rPr>
        <w:t>Pożyczkobiorca</w:t>
      </w:r>
      <w:r w:rsidR="008605E8" w:rsidRPr="0068521C">
        <w:rPr>
          <w:rFonts w:asciiTheme="minorHAnsi" w:hAnsiTheme="minorHAnsi" w:cstheme="minorHAnsi"/>
        </w:rPr>
        <w:t xml:space="preserve"> nie wykorzysta </w:t>
      </w:r>
      <w:r w:rsidR="00C86510" w:rsidRPr="0068521C">
        <w:rPr>
          <w:rFonts w:asciiTheme="minorHAnsi" w:hAnsiTheme="minorHAnsi" w:cstheme="minorHAnsi"/>
        </w:rPr>
        <w:t xml:space="preserve">części wypłaconych na jego rzecz </w:t>
      </w:r>
      <w:r w:rsidR="00211D69" w:rsidRPr="0068521C">
        <w:rPr>
          <w:rFonts w:asciiTheme="minorHAnsi" w:hAnsiTheme="minorHAnsi" w:cstheme="minorHAnsi"/>
        </w:rPr>
        <w:t>środków</w:t>
      </w:r>
      <w:r w:rsidR="00C86510" w:rsidRPr="0068521C">
        <w:rPr>
          <w:rFonts w:asciiTheme="minorHAnsi" w:hAnsiTheme="minorHAnsi" w:cstheme="minorHAnsi"/>
        </w:rPr>
        <w:t xml:space="preserve"> Jednostkowej Pożyczki</w:t>
      </w:r>
      <w:r w:rsidR="00211D69" w:rsidRPr="0068521C">
        <w:rPr>
          <w:rFonts w:asciiTheme="minorHAnsi" w:hAnsiTheme="minorHAnsi" w:cstheme="minorHAnsi"/>
        </w:rPr>
        <w:t>,</w:t>
      </w:r>
    </w:p>
    <w:p w14:paraId="73EFBBD2" w14:textId="5617DE4E" w:rsidR="00211D69" w:rsidRPr="0068521C" w:rsidRDefault="00633186" w:rsidP="00E35A64">
      <w:pPr>
        <w:pStyle w:val="Akapitzlist"/>
        <w:numPr>
          <w:ilvl w:val="3"/>
          <w:numId w:val="6"/>
        </w:numPr>
        <w:tabs>
          <w:tab w:val="left" w:pos="567"/>
        </w:tabs>
        <w:spacing w:after="0"/>
        <w:ind w:left="851" w:hanging="284"/>
        <w:jc w:val="both"/>
        <w:rPr>
          <w:rFonts w:asciiTheme="minorHAnsi" w:hAnsiTheme="minorHAnsi" w:cstheme="minorHAnsi"/>
        </w:rPr>
      </w:pPr>
      <w:r w:rsidRPr="0068521C">
        <w:rPr>
          <w:rFonts w:asciiTheme="minorHAnsi" w:hAnsiTheme="minorHAnsi" w:cstheme="minorHAnsi"/>
        </w:rPr>
        <w:t>część wydatków poniesionych w ramach Jednostkowej Pożyczki nie będzie spełniała Zasad Kwalifikowalności</w:t>
      </w:r>
      <w:r w:rsidR="00211D69" w:rsidRPr="0068521C">
        <w:rPr>
          <w:rFonts w:asciiTheme="minorHAnsi" w:hAnsiTheme="minorHAnsi" w:cstheme="minorHAnsi"/>
        </w:rPr>
        <w:t>,</w:t>
      </w:r>
    </w:p>
    <w:p w14:paraId="3662D851" w14:textId="5143A9FD" w:rsidR="006629B7" w:rsidRPr="0068521C" w:rsidRDefault="00C03D30" w:rsidP="00EE64F1">
      <w:pPr>
        <w:pStyle w:val="Akapitzlist"/>
        <w:tabs>
          <w:tab w:val="left" w:pos="426"/>
        </w:tabs>
        <w:spacing w:after="120" w:line="23" w:lineRule="atLeast"/>
        <w:ind w:left="357"/>
        <w:contextualSpacing w:val="0"/>
        <w:jc w:val="both"/>
        <w:rPr>
          <w:rFonts w:asciiTheme="minorHAnsi" w:hAnsiTheme="minorHAnsi" w:cstheme="minorHAnsi"/>
        </w:rPr>
      </w:pPr>
      <w:r w:rsidRPr="0068521C">
        <w:rPr>
          <w:rFonts w:asciiTheme="minorHAnsi" w:hAnsiTheme="minorHAnsi" w:cstheme="minorHAnsi"/>
        </w:rPr>
        <w:t xml:space="preserve">- kwota </w:t>
      </w:r>
      <w:r w:rsidR="000B13DA">
        <w:rPr>
          <w:rFonts w:asciiTheme="minorHAnsi" w:hAnsiTheme="minorHAnsi" w:cstheme="minorHAnsi"/>
        </w:rPr>
        <w:t>D</w:t>
      </w:r>
      <w:r w:rsidR="00037B9F" w:rsidRPr="0068521C">
        <w:rPr>
          <w:rFonts w:asciiTheme="minorHAnsi" w:hAnsiTheme="minorHAnsi" w:cstheme="minorHAnsi"/>
        </w:rPr>
        <w:t>otacj</w:t>
      </w:r>
      <w:r w:rsidR="004B7A99">
        <w:rPr>
          <w:rFonts w:asciiTheme="minorHAnsi" w:hAnsiTheme="minorHAnsi" w:cstheme="minorHAnsi"/>
        </w:rPr>
        <w:t>i</w:t>
      </w:r>
      <w:r w:rsidR="00037B9F" w:rsidRPr="0068521C">
        <w:rPr>
          <w:rFonts w:asciiTheme="minorHAnsi" w:hAnsiTheme="minorHAnsi" w:cstheme="minorHAnsi"/>
        </w:rPr>
        <w:t xml:space="preserve"> </w:t>
      </w:r>
      <w:r w:rsidR="00AC4037" w:rsidRPr="0068521C">
        <w:rPr>
          <w:rFonts w:asciiTheme="minorHAnsi" w:hAnsiTheme="minorHAnsi" w:cstheme="minorHAnsi"/>
        </w:rPr>
        <w:t xml:space="preserve">ulega odpowiedniemu obniżeniu i jest </w:t>
      </w:r>
      <w:r w:rsidR="00D61F19" w:rsidRPr="0068521C">
        <w:rPr>
          <w:rFonts w:asciiTheme="minorHAnsi" w:hAnsiTheme="minorHAnsi" w:cstheme="minorHAnsi"/>
        </w:rPr>
        <w:t xml:space="preserve">odpowiednio korygowana </w:t>
      </w:r>
      <w:r w:rsidR="00AC4037" w:rsidRPr="0068521C">
        <w:rPr>
          <w:rFonts w:asciiTheme="minorHAnsi" w:hAnsiTheme="minorHAnsi" w:cstheme="minorHAnsi"/>
        </w:rPr>
        <w:t xml:space="preserve">w oparciu o kwotę Jednostkowej Pożyczki wypłaconej </w:t>
      </w:r>
      <w:r w:rsidR="00C13980" w:rsidRPr="0068521C">
        <w:rPr>
          <w:rFonts w:asciiTheme="minorHAnsi" w:hAnsiTheme="minorHAnsi" w:cstheme="minorHAnsi"/>
        </w:rPr>
        <w:t>i wykorzystanej na wydatki spełniające Zasady Kwalifikowalności</w:t>
      </w:r>
      <w:r w:rsidR="00376D87" w:rsidRPr="0068521C">
        <w:rPr>
          <w:rFonts w:asciiTheme="minorHAnsi" w:hAnsiTheme="minorHAnsi" w:cstheme="minorHAnsi"/>
        </w:rPr>
        <w:t>, chyba że</w:t>
      </w:r>
      <w:r w:rsidR="00FF607D" w:rsidRPr="0068521C">
        <w:rPr>
          <w:rFonts w:asciiTheme="minorHAnsi" w:hAnsiTheme="minorHAnsi" w:cstheme="minorHAnsi"/>
        </w:rPr>
        <w:t>,</w:t>
      </w:r>
      <w:r w:rsidR="00376D87" w:rsidRPr="0068521C">
        <w:rPr>
          <w:rFonts w:asciiTheme="minorHAnsi" w:hAnsiTheme="minorHAnsi" w:cstheme="minorHAnsi"/>
        </w:rPr>
        <w:t xml:space="preserve"> ze względu na okoliczności wskazane w </w:t>
      </w:r>
      <w:r w:rsidR="00882001" w:rsidRPr="0068521C">
        <w:rPr>
          <w:rFonts w:asciiTheme="minorHAnsi" w:hAnsiTheme="minorHAnsi" w:cstheme="minorHAnsi"/>
        </w:rPr>
        <w:t>lit</w:t>
      </w:r>
      <w:r w:rsidR="00F41BB7" w:rsidRPr="0068521C">
        <w:rPr>
          <w:rFonts w:asciiTheme="minorHAnsi" w:hAnsiTheme="minorHAnsi" w:cstheme="minorHAnsi"/>
        </w:rPr>
        <w:t>.</w:t>
      </w:r>
      <w:r w:rsidR="00882001" w:rsidRPr="0068521C">
        <w:rPr>
          <w:rFonts w:asciiTheme="minorHAnsi" w:hAnsiTheme="minorHAnsi" w:cstheme="minorHAnsi"/>
        </w:rPr>
        <w:t xml:space="preserve"> a</w:t>
      </w:r>
      <w:r w:rsidR="00F41BB7" w:rsidRPr="0068521C">
        <w:rPr>
          <w:rFonts w:asciiTheme="minorHAnsi" w:hAnsiTheme="minorHAnsi" w:cstheme="minorHAnsi"/>
        </w:rPr>
        <w:t>-</w:t>
      </w:r>
      <w:r w:rsidR="00882001" w:rsidRPr="0068521C">
        <w:rPr>
          <w:rFonts w:asciiTheme="minorHAnsi" w:hAnsiTheme="minorHAnsi" w:cstheme="minorHAnsi"/>
        </w:rPr>
        <w:t>c</w:t>
      </w:r>
      <w:r w:rsidR="00FF607D" w:rsidRPr="0068521C">
        <w:rPr>
          <w:rFonts w:asciiTheme="minorHAnsi" w:hAnsiTheme="minorHAnsi" w:cstheme="minorHAnsi"/>
        </w:rPr>
        <w:t>,</w:t>
      </w:r>
      <w:r w:rsidR="00376D87" w:rsidRPr="0068521C">
        <w:rPr>
          <w:rFonts w:asciiTheme="minorHAnsi" w:hAnsiTheme="minorHAnsi" w:cstheme="minorHAnsi"/>
        </w:rPr>
        <w:t xml:space="preserve"> cała Jednostkowa Pożyczka nie może być uznana za spełniającą Zasady Kwalifikowalności</w:t>
      </w:r>
      <w:r w:rsidR="00FF607D" w:rsidRPr="0068521C">
        <w:rPr>
          <w:rFonts w:asciiTheme="minorHAnsi" w:hAnsiTheme="minorHAnsi" w:cstheme="minorHAnsi"/>
        </w:rPr>
        <w:t xml:space="preserve">, co skutkuje brakiem możliwości </w:t>
      </w:r>
      <w:r w:rsidR="00A74D26">
        <w:rPr>
          <w:rFonts w:asciiTheme="minorHAnsi" w:hAnsiTheme="minorHAnsi" w:cstheme="minorHAnsi"/>
        </w:rPr>
        <w:t>zastosowania Dotacji</w:t>
      </w:r>
      <w:r w:rsidR="00FF607D" w:rsidRPr="0068521C">
        <w:rPr>
          <w:rFonts w:asciiTheme="minorHAnsi" w:hAnsiTheme="minorHAnsi" w:cstheme="minorHAnsi"/>
        </w:rPr>
        <w:t>.</w:t>
      </w:r>
    </w:p>
    <w:p w14:paraId="0B661E95" w14:textId="0DD8695E" w:rsidR="008B1184" w:rsidRPr="000B13DA" w:rsidRDefault="007720DA"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0B13DA">
        <w:rPr>
          <w:rFonts w:asciiTheme="minorHAnsi" w:hAnsiTheme="minorHAnsi" w:cstheme="minorHAnsi"/>
        </w:rPr>
        <w:t xml:space="preserve">Obniżenie kwoty </w:t>
      </w:r>
      <w:r w:rsidR="000B13DA" w:rsidRPr="000B13DA">
        <w:rPr>
          <w:rFonts w:asciiTheme="minorHAnsi" w:hAnsiTheme="minorHAnsi" w:cstheme="minorHAnsi"/>
        </w:rPr>
        <w:t>D</w:t>
      </w:r>
      <w:r w:rsidR="004B7A99" w:rsidRPr="000B13DA">
        <w:rPr>
          <w:rFonts w:asciiTheme="minorHAnsi" w:hAnsiTheme="minorHAnsi" w:cstheme="minorHAnsi"/>
        </w:rPr>
        <w:t>otacji</w:t>
      </w:r>
      <w:r w:rsidRPr="000B13DA">
        <w:rPr>
          <w:rFonts w:asciiTheme="minorHAnsi" w:hAnsiTheme="minorHAnsi" w:cstheme="minorHAnsi"/>
        </w:rPr>
        <w:t>, o którym mowa w pk</w:t>
      </w:r>
      <w:r w:rsidR="003E0713" w:rsidRPr="000B13DA">
        <w:rPr>
          <w:rFonts w:asciiTheme="minorHAnsi" w:hAnsiTheme="minorHAnsi" w:cstheme="minorHAnsi"/>
        </w:rPr>
        <w:t>t. 6</w:t>
      </w:r>
      <w:r w:rsidR="00D208A8" w:rsidRPr="000B13DA">
        <w:rPr>
          <w:rFonts w:asciiTheme="minorHAnsi" w:hAnsiTheme="minorHAnsi" w:cstheme="minorHAnsi"/>
        </w:rPr>
        <w:t xml:space="preserve"> </w:t>
      </w:r>
      <w:r w:rsidRPr="000B13DA">
        <w:rPr>
          <w:rFonts w:asciiTheme="minorHAnsi" w:hAnsiTheme="minorHAnsi" w:cstheme="minorHAnsi"/>
        </w:rPr>
        <w:t>skutkuje również obowiązkiem dokonania</w:t>
      </w:r>
      <w:r w:rsidR="00EF1039" w:rsidRPr="000B13DA">
        <w:rPr>
          <w:rFonts w:asciiTheme="minorHAnsi" w:hAnsiTheme="minorHAnsi" w:cstheme="minorHAnsi"/>
        </w:rPr>
        <w:t xml:space="preserve"> odpowiedniej</w:t>
      </w:r>
      <w:r w:rsidRPr="000B13DA">
        <w:rPr>
          <w:rFonts w:asciiTheme="minorHAnsi" w:hAnsiTheme="minorHAnsi" w:cstheme="minorHAnsi"/>
        </w:rPr>
        <w:t xml:space="preserve"> korekty udzielonej pomocy de </w:t>
      </w:r>
      <w:proofErr w:type="spellStart"/>
      <w:r w:rsidRPr="000B13DA">
        <w:rPr>
          <w:rFonts w:asciiTheme="minorHAnsi" w:hAnsiTheme="minorHAnsi" w:cstheme="minorHAnsi"/>
        </w:rPr>
        <w:t>minimis</w:t>
      </w:r>
      <w:proofErr w:type="spellEnd"/>
      <w:r w:rsidRPr="000B13DA">
        <w:rPr>
          <w:rFonts w:asciiTheme="minorHAnsi" w:hAnsiTheme="minorHAnsi" w:cstheme="minorHAnsi"/>
        </w:rPr>
        <w:t xml:space="preserve"> albo pomocy publicznej.</w:t>
      </w:r>
    </w:p>
    <w:p w14:paraId="64D1EBB7" w14:textId="44E64D1F" w:rsidR="003E0713" w:rsidRPr="0068521C" w:rsidRDefault="003E0713"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68521C">
        <w:rPr>
          <w:rFonts w:asciiTheme="minorHAnsi" w:hAnsiTheme="minorHAnsi" w:cstheme="minorHAnsi"/>
        </w:rPr>
        <w:t xml:space="preserve">W przypadkach określonych </w:t>
      </w:r>
      <w:r w:rsidR="00A632E7" w:rsidRPr="0068521C">
        <w:rPr>
          <w:rFonts w:asciiTheme="minorHAnsi" w:hAnsiTheme="minorHAnsi" w:cstheme="minorHAnsi"/>
        </w:rPr>
        <w:t xml:space="preserve">w pkt. 6 lit. b-c </w:t>
      </w:r>
      <w:r w:rsidR="00A74D26">
        <w:rPr>
          <w:rFonts w:asciiTheme="minorHAnsi" w:hAnsiTheme="minorHAnsi" w:cstheme="minorHAnsi"/>
        </w:rPr>
        <w:t>zastosowanie Dotacji</w:t>
      </w:r>
      <w:r w:rsidR="00C8062A">
        <w:rPr>
          <w:rFonts w:asciiTheme="minorHAnsi" w:hAnsiTheme="minorHAnsi" w:cstheme="minorHAnsi"/>
        </w:rPr>
        <w:t xml:space="preserve"> </w:t>
      </w:r>
      <w:r w:rsidR="00B61546" w:rsidRPr="0068521C">
        <w:rPr>
          <w:rFonts w:asciiTheme="minorHAnsi" w:hAnsiTheme="minorHAnsi" w:cstheme="minorHAnsi"/>
        </w:rPr>
        <w:t xml:space="preserve">może </w:t>
      </w:r>
      <w:r w:rsidR="00A632E7" w:rsidRPr="0068521C">
        <w:rPr>
          <w:rFonts w:asciiTheme="minorHAnsi" w:hAnsiTheme="minorHAnsi" w:cstheme="minorHAnsi"/>
        </w:rPr>
        <w:t>nastąpi</w:t>
      </w:r>
      <w:r w:rsidR="00B61546" w:rsidRPr="0068521C">
        <w:rPr>
          <w:rFonts w:asciiTheme="minorHAnsi" w:hAnsiTheme="minorHAnsi" w:cstheme="minorHAnsi"/>
        </w:rPr>
        <w:t>ć</w:t>
      </w:r>
      <w:r w:rsidR="00A632E7" w:rsidRPr="0068521C">
        <w:rPr>
          <w:rFonts w:asciiTheme="minorHAnsi" w:hAnsiTheme="minorHAnsi" w:cstheme="minorHAnsi"/>
        </w:rPr>
        <w:t xml:space="preserve"> po dokonaniu zwrotu przez </w:t>
      </w:r>
      <w:r w:rsidR="00E66B12" w:rsidRPr="0068521C">
        <w:rPr>
          <w:rFonts w:asciiTheme="minorHAnsi" w:hAnsiTheme="minorHAnsi" w:cstheme="minorHAnsi"/>
        </w:rPr>
        <w:t>Pożyczkobiorcę</w:t>
      </w:r>
      <w:r w:rsidR="00E557E9" w:rsidRPr="0068521C">
        <w:rPr>
          <w:rFonts w:asciiTheme="minorHAnsi" w:hAnsiTheme="minorHAnsi" w:cstheme="minorHAnsi"/>
        </w:rPr>
        <w:t xml:space="preserve"> niewykorzystanej oraz </w:t>
      </w:r>
      <w:r w:rsidR="00291940" w:rsidRPr="0068521C">
        <w:rPr>
          <w:rFonts w:asciiTheme="minorHAnsi" w:hAnsiTheme="minorHAnsi" w:cstheme="minorHAnsi"/>
        </w:rPr>
        <w:t>niespełniającej</w:t>
      </w:r>
      <w:r w:rsidR="00E557E9" w:rsidRPr="0068521C">
        <w:rPr>
          <w:rFonts w:asciiTheme="minorHAnsi" w:hAnsiTheme="minorHAnsi" w:cstheme="minorHAnsi"/>
        </w:rPr>
        <w:t xml:space="preserve"> </w:t>
      </w:r>
      <w:r w:rsidR="00291940" w:rsidRPr="0068521C">
        <w:rPr>
          <w:rFonts w:asciiTheme="minorHAnsi" w:hAnsiTheme="minorHAnsi" w:cstheme="minorHAnsi"/>
        </w:rPr>
        <w:t>Zasad Kwalifikowalności</w:t>
      </w:r>
      <w:r w:rsidR="00E557E9" w:rsidRPr="0068521C">
        <w:rPr>
          <w:rFonts w:asciiTheme="minorHAnsi" w:hAnsiTheme="minorHAnsi" w:cstheme="minorHAnsi"/>
        </w:rPr>
        <w:t xml:space="preserve"> części Jednostkowej Pożyczki</w:t>
      </w:r>
      <w:r w:rsidR="00291940" w:rsidRPr="0068521C">
        <w:rPr>
          <w:rFonts w:asciiTheme="minorHAnsi" w:hAnsiTheme="minorHAnsi" w:cstheme="minorHAnsi"/>
        </w:rPr>
        <w:t>.</w:t>
      </w:r>
    </w:p>
    <w:p w14:paraId="371600E7" w14:textId="708E9745" w:rsidR="00676346" w:rsidRPr="0068521C" w:rsidRDefault="00A74D26"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Pr>
          <w:rFonts w:asciiTheme="minorHAnsi" w:hAnsiTheme="minorHAnsi" w:cstheme="minorHAnsi"/>
        </w:rPr>
        <w:t>Dotacja obejmuje</w:t>
      </w:r>
      <w:r w:rsidR="00676346" w:rsidRPr="0068521C">
        <w:rPr>
          <w:rFonts w:asciiTheme="minorHAnsi" w:hAnsiTheme="minorHAnsi" w:cstheme="minorHAnsi"/>
        </w:rPr>
        <w:t xml:space="preserve"> wyłącznie kapita</w:t>
      </w:r>
      <w:r>
        <w:rPr>
          <w:rFonts w:asciiTheme="minorHAnsi" w:hAnsiTheme="minorHAnsi" w:cstheme="minorHAnsi"/>
        </w:rPr>
        <w:t>ł</w:t>
      </w:r>
      <w:r w:rsidR="00676346" w:rsidRPr="0068521C">
        <w:rPr>
          <w:rFonts w:asciiTheme="minorHAnsi" w:hAnsiTheme="minorHAnsi" w:cstheme="minorHAnsi"/>
        </w:rPr>
        <w:t xml:space="preserve"> </w:t>
      </w:r>
      <w:r w:rsidR="005E4678" w:rsidRPr="0068521C">
        <w:rPr>
          <w:rFonts w:asciiTheme="minorHAnsi" w:hAnsiTheme="minorHAnsi" w:cstheme="minorHAnsi"/>
        </w:rPr>
        <w:t>Jednostkowej Pożyczki w części W</w:t>
      </w:r>
      <w:r w:rsidR="00676346" w:rsidRPr="0068521C">
        <w:rPr>
          <w:rFonts w:asciiTheme="minorHAnsi" w:hAnsiTheme="minorHAnsi" w:cstheme="minorHAnsi"/>
        </w:rPr>
        <w:t>kładu</w:t>
      </w:r>
      <w:r w:rsidR="005E4678" w:rsidRPr="0068521C">
        <w:rPr>
          <w:rFonts w:asciiTheme="minorHAnsi" w:hAnsiTheme="minorHAnsi" w:cstheme="minorHAnsi"/>
        </w:rPr>
        <w:t xml:space="preserve"> Funduszu Powierniczego pochodzące</w:t>
      </w:r>
      <w:r>
        <w:rPr>
          <w:rFonts w:asciiTheme="minorHAnsi" w:hAnsiTheme="minorHAnsi" w:cstheme="minorHAnsi"/>
        </w:rPr>
        <w:t>go</w:t>
      </w:r>
      <w:r w:rsidR="00676346" w:rsidRPr="0068521C">
        <w:rPr>
          <w:rFonts w:asciiTheme="minorHAnsi" w:hAnsiTheme="minorHAnsi" w:cstheme="minorHAnsi"/>
        </w:rPr>
        <w:t xml:space="preserve"> z Europejskiego Funduszu Rozwoju Regionalnego</w:t>
      </w:r>
      <w:r w:rsidR="00513AAD" w:rsidRPr="0068521C">
        <w:rPr>
          <w:rFonts w:asciiTheme="minorHAnsi" w:hAnsiTheme="minorHAnsi" w:cstheme="minorHAnsi"/>
        </w:rPr>
        <w:t xml:space="preserve"> i nie może przekroczyć kwoty kapitału pozostałej do spłaty</w:t>
      </w:r>
      <w:r w:rsidR="00B47FDF" w:rsidRPr="0068521C">
        <w:rPr>
          <w:rFonts w:asciiTheme="minorHAnsi" w:hAnsiTheme="minorHAnsi" w:cstheme="minorHAnsi"/>
        </w:rPr>
        <w:t xml:space="preserve"> przypisanej do tego źródła finansowania</w:t>
      </w:r>
      <w:r w:rsidR="00EF1039" w:rsidRPr="0068521C">
        <w:rPr>
          <w:rFonts w:asciiTheme="minorHAnsi" w:hAnsiTheme="minorHAnsi" w:cstheme="minorHAnsi"/>
        </w:rPr>
        <w:t xml:space="preserve"> na dzień</w:t>
      </w:r>
      <w:r>
        <w:rPr>
          <w:rFonts w:asciiTheme="minorHAnsi" w:hAnsiTheme="minorHAnsi" w:cstheme="minorHAnsi"/>
        </w:rPr>
        <w:t xml:space="preserve"> zastosowania Dotacji</w:t>
      </w:r>
      <w:r w:rsidR="000273C7">
        <w:rPr>
          <w:rFonts w:asciiTheme="minorHAnsi" w:hAnsiTheme="minorHAnsi" w:cstheme="minorHAnsi"/>
        </w:rPr>
        <w:t>.</w:t>
      </w:r>
    </w:p>
    <w:p w14:paraId="6FEE9842" w14:textId="6A2A44FA" w:rsidR="0095547B" w:rsidRPr="00863AC6" w:rsidRDefault="00DB0DAC" w:rsidP="00A6340D">
      <w:pPr>
        <w:pStyle w:val="Akapitzlist"/>
        <w:numPr>
          <w:ilvl w:val="0"/>
          <w:numId w:val="10"/>
        </w:numPr>
        <w:tabs>
          <w:tab w:val="left" w:pos="426"/>
        </w:tabs>
        <w:spacing w:after="120" w:line="23" w:lineRule="atLeast"/>
        <w:ind w:left="426" w:hanging="357"/>
        <w:contextualSpacing w:val="0"/>
        <w:jc w:val="both"/>
        <w:rPr>
          <w:rFonts w:asciiTheme="minorHAnsi" w:hAnsiTheme="minorHAnsi" w:cstheme="minorHAnsi"/>
        </w:rPr>
      </w:pPr>
      <w:r w:rsidRPr="00863AC6">
        <w:rPr>
          <w:rFonts w:asciiTheme="minorHAnsi" w:hAnsiTheme="minorHAnsi" w:cstheme="minorHAnsi"/>
        </w:rPr>
        <w:t xml:space="preserve">Wraz z </w:t>
      </w:r>
      <w:r w:rsidR="00A74D26" w:rsidRPr="00863AC6">
        <w:rPr>
          <w:rFonts w:asciiTheme="minorHAnsi" w:hAnsiTheme="minorHAnsi" w:cstheme="minorHAnsi"/>
        </w:rPr>
        <w:t xml:space="preserve"> zastosowaniem Dotacji następuje obniżenie salda Jednostkowej Pożyczki pozostałego do spłaty. </w:t>
      </w:r>
      <w:r w:rsidR="00124555" w:rsidRPr="00863AC6">
        <w:rPr>
          <w:rFonts w:asciiTheme="minorHAnsi" w:hAnsiTheme="minorHAnsi" w:cstheme="minorHAnsi"/>
        </w:rPr>
        <w:t xml:space="preserve"> </w:t>
      </w:r>
      <w:r w:rsidR="00E66B12" w:rsidRPr="00863AC6">
        <w:rPr>
          <w:rFonts w:asciiTheme="minorHAnsi" w:hAnsiTheme="minorHAnsi" w:cstheme="minorHAnsi"/>
        </w:rPr>
        <w:t>Pożyczkodawca</w:t>
      </w:r>
      <w:r w:rsidRPr="00863AC6">
        <w:rPr>
          <w:rFonts w:asciiTheme="minorHAnsi" w:hAnsiTheme="minorHAnsi" w:cstheme="minorHAnsi"/>
        </w:rPr>
        <w:t xml:space="preserve"> przygotowuje i</w:t>
      </w:r>
      <w:r w:rsidR="00124555" w:rsidRPr="00863AC6">
        <w:rPr>
          <w:rFonts w:asciiTheme="minorHAnsi" w:hAnsiTheme="minorHAnsi" w:cstheme="minorHAnsi"/>
        </w:rPr>
        <w:t xml:space="preserve"> przekazuje </w:t>
      </w:r>
      <w:r w:rsidR="00E66B12" w:rsidRPr="00863AC6">
        <w:rPr>
          <w:rFonts w:asciiTheme="minorHAnsi" w:hAnsiTheme="minorHAnsi" w:cstheme="minorHAnsi"/>
        </w:rPr>
        <w:t>Pożyczkobiorcy</w:t>
      </w:r>
      <w:r w:rsidR="00124555" w:rsidRPr="00863AC6">
        <w:rPr>
          <w:rFonts w:asciiTheme="minorHAnsi" w:hAnsiTheme="minorHAnsi" w:cstheme="minorHAnsi"/>
        </w:rPr>
        <w:t xml:space="preserve"> nowy</w:t>
      </w:r>
      <w:r w:rsidR="000273C7" w:rsidRPr="00863AC6">
        <w:rPr>
          <w:rFonts w:asciiTheme="minorHAnsi" w:hAnsiTheme="minorHAnsi" w:cstheme="minorHAnsi"/>
        </w:rPr>
        <w:t>, pomniejszony o kwotę Dotacji,</w:t>
      </w:r>
      <w:r w:rsidR="00124555" w:rsidRPr="00863AC6">
        <w:rPr>
          <w:rFonts w:asciiTheme="minorHAnsi" w:hAnsiTheme="minorHAnsi" w:cstheme="minorHAnsi"/>
        </w:rPr>
        <w:t xml:space="preserve"> harmonogram spłat</w:t>
      </w:r>
      <w:r w:rsidR="00A74D26" w:rsidRPr="00863AC6">
        <w:rPr>
          <w:rFonts w:asciiTheme="minorHAnsi" w:hAnsiTheme="minorHAnsi" w:cstheme="minorHAnsi"/>
        </w:rPr>
        <w:t xml:space="preserve"> Jednostkowej Pożyczki</w:t>
      </w:r>
      <w:r w:rsidR="00124555" w:rsidRPr="00863AC6">
        <w:rPr>
          <w:rFonts w:asciiTheme="minorHAnsi" w:hAnsiTheme="minorHAnsi" w:cstheme="minorHAnsi"/>
        </w:rPr>
        <w:t xml:space="preserve">, który nie modyfikuje pierwotnie udzielonego okresu </w:t>
      </w:r>
      <w:r w:rsidR="00A74D26" w:rsidRPr="00863AC6">
        <w:rPr>
          <w:rFonts w:asciiTheme="minorHAnsi" w:hAnsiTheme="minorHAnsi" w:cstheme="minorHAnsi"/>
        </w:rPr>
        <w:t xml:space="preserve">jej </w:t>
      </w:r>
      <w:r w:rsidR="00124555" w:rsidRPr="00863AC6">
        <w:rPr>
          <w:rFonts w:asciiTheme="minorHAnsi" w:hAnsiTheme="minorHAnsi" w:cstheme="minorHAnsi"/>
        </w:rPr>
        <w:t>spłaty.</w:t>
      </w:r>
      <w:r w:rsidR="0095547B" w:rsidRPr="00863AC6">
        <w:rPr>
          <w:rFonts w:asciiTheme="minorHAnsi" w:hAnsiTheme="minorHAnsi" w:cstheme="minorHAnsi"/>
        </w:rPr>
        <w:br w:type="page"/>
      </w:r>
    </w:p>
    <w:p w14:paraId="12FC56BF" w14:textId="77777777" w:rsidR="00E66B12" w:rsidRPr="00EF6F38" w:rsidRDefault="00E66B12" w:rsidP="00A86BFA">
      <w:pPr>
        <w:pStyle w:val="Akapitzlist"/>
        <w:spacing w:after="120" w:line="23" w:lineRule="atLeast"/>
        <w:ind w:left="426"/>
        <w:contextualSpacing w:val="0"/>
        <w:jc w:val="both"/>
        <w:rPr>
          <w:rFonts w:asciiTheme="minorHAnsi" w:hAnsiTheme="minorHAnsi" w:cstheme="minorHAnsi"/>
        </w:rPr>
      </w:pPr>
    </w:p>
    <w:p w14:paraId="4F28EEF3" w14:textId="77777777" w:rsidR="00093A8E" w:rsidRPr="00EF6F38" w:rsidRDefault="00093A8E" w:rsidP="00093A8E">
      <w:pPr>
        <w:pStyle w:val="Akapitzlist"/>
        <w:spacing w:after="120" w:line="23" w:lineRule="atLeast"/>
        <w:jc w:val="right"/>
        <w:rPr>
          <w:rFonts w:asciiTheme="minorHAnsi" w:hAnsiTheme="minorHAnsi" w:cstheme="minorHAnsi"/>
          <w:i/>
        </w:rPr>
      </w:pPr>
      <w:r w:rsidRPr="00EF6F38">
        <w:rPr>
          <w:rFonts w:asciiTheme="minorHAnsi" w:hAnsiTheme="minorHAnsi" w:cstheme="minorHAnsi"/>
          <w:i/>
        </w:rPr>
        <w:t>Załącznik nr 1</w:t>
      </w:r>
    </w:p>
    <w:p w14:paraId="7063C85A" w14:textId="7F1449BA" w:rsidR="00093A8E" w:rsidRPr="00EF6F38" w:rsidRDefault="00093A8E" w:rsidP="00093A8E">
      <w:pPr>
        <w:pStyle w:val="Default"/>
        <w:jc w:val="right"/>
        <w:rPr>
          <w:rFonts w:asciiTheme="minorHAnsi" w:eastAsiaTheme="minorHAnsi" w:hAnsiTheme="minorHAnsi" w:cstheme="minorHAnsi"/>
          <w:i/>
          <w:sz w:val="22"/>
          <w:szCs w:val="22"/>
          <w:lang w:eastAsia="en-US"/>
        </w:rPr>
      </w:pPr>
      <w:r w:rsidRPr="00EF6F38">
        <w:rPr>
          <w:rFonts w:asciiTheme="minorHAnsi" w:hAnsiTheme="minorHAnsi" w:cstheme="minorHAnsi"/>
          <w:i/>
          <w:sz w:val="22"/>
          <w:szCs w:val="22"/>
        </w:rPr>
        <w:t xml:space="preserve">do Karty Produktu – </w:t>
      </w:r>
      <w:r w:rsidRPr="00EF6F38">
        <w:rPr>
          <w:rFonts w:asciiTheme="minorHAnsi" w:eastAsiaTheme="minorHAnsi" w:hAnsiTheme="minorHAnsi" w:cstheme="minorHAnsi"/>
          <w:i/>
          <w:sz w:val="22"/>
          <w:szCs w:val="22"/>
          <w:lang w:eastAsia="en-US"/>
        </w:rPr>
        <w:t>Pożyczka na inwestycje rozwojowe</w:t>
      </w:r>
      <w:r w:rsidR="007772A6">
        <w:rPr>
          <w:rFonts w:asciiTheme="minorHAnsi" w:eastAsiaTheme="minorHAnsi" w:hAnsiTheme="minorHAnsi" w:cstheme="minorHAnsi"/>
          <w:i/>
          <w:sz w:val="22"/>
          <w:szCs w:val="22"/>
          <w:lang w:eastAsia="en-US"/>
        </w:rPr>
        <w:t xml:space="preserve"> z Dotacją</w:t>
      </w:r>
      <w:r w:rsidRPr="00EF6F38">
        <w:rPr>
          <w:rFonts w:asciiTheme="minorHAnsi" w:eastAsiaTheme="minorHAnsi" w:hAnsiTheme="minorHAnsi" w:cstheme="minorHAnsi"/>
          <w:i/>
          <w:sz w:val="22"/>
          <w:szCs w:val="22"/>
          <w:lang w:eastAsia="en-US"/>
        </w:rPr>
        <w:t xml:space="preserve"> </w:t>
      </w:r>
    </w:p>
    <w:p w14:paraId="3F0A0A00" w14:textId="77777777" w:rsidR="00093A8E" w:rsidRPr="00EF6F38" w:rsidRDefault="00093A8E" w:rsidP="00093A8E">
      <w:pPr>
        <w:pStyle w:val="Default"/>
        <w:jc w:val="right"/>
        <w:rPr>
          <w:rFonts w:asciiTheme="minorHAnsi" w:eastAsiaTheme="minorHAnsi" w:hAnsiTheme="minorHAnsi" w:cstheme="minorHAnsi"/>
          <w:i/>
          <w:sz w:val="22"/>
          <w:szCs w:val="22"/>
          <w:lang w:eastAsia="en-US"/>
        </w:rPr>
      </w:pPr>
    </w:p>
    <w:p w14:paraId="7F2E6BA7" w14:textId="77777777" w:rsidR="00093A8E" w:rsidRPr="00EF6F38" w:rsidRDefault="00093A8E" w:rsidP="00093A8E">
      <w:pPr>
        <w:pStyle w:val="Default"/>
        <w:jc w:val="right"/>
        <w:rPr>
          <w:rFonts w:asciiTheme="minorHAnsi" w:eastAsiaTheme="minorHAnsi" w:hAnsiTheme="minorHAnsi" w:cstheme="minorHAnsi"/>
          <w:i/>
          <w:sz w:val="22"/>
          <w:szCs w:val="22"/>
          <w:lang w:eastAsia="en-US"/>
        </w:rPr>
      </w:pPr>
    </w:p>
    <w:p w14:paraId="32E4D4B6" w14:textId="77777777" w:rsidR="00093A8E" w:rsidRPr="00EF6F38" w:rsidRDefault="00093A8E" w:rsidP="00093A8E">
      <w:pPr>
        <w:pStyle w:val="Akapitzlist"/>
        <w:numPr>
          <w:ilvl w:val="0"/>
          <w:numId w:val="19"/>
        </w:numPr>
        <w:rPr>
          <w:rFonts w:asciiTheme="minorHAnsi" w:hAnsiTheme="minorHAnsi" w:cstheme="minorHAnsi"/>
          <w:b/>
          <w:bCs/>
        </w:rPr>
      </w:pPr>
      <w:r w:rsidRPr="00EF6F38">
        <w:rPr>
          <w:rFonts w:asciiTheme="minorHAnsi" w:hAnsiTheme="minorHAnsi" w:cstheme="minorHAnsi"/>
          <w:b/>
          <w:bCs/>
        </w:rPr>
        <w:t>Warunek nr 1 – realizacja inwestycji przyczyniających się do cyfryzacji, automatyzacji lub robotyzacji procesów w przedsiębiorstwie.</w:t>
      </w:r>
    </w:p>
    <w:p w14:paraId="0FC12B74" w14:textId="5349D724" w:rsidR="00093A8E" w:rsidRPr="00EF6F38" w:rsidRDefault="00093A8E" w:rsidP="00E70B9E">
      <w:pPr>
        <w:jc w:val="both"/>
        <w:rPr>
          <w:rFonts w:asciiTheme="minorHAnsi" w:hAnsiTheme="minorHAnsi" w:cstheme="minorHAnsi"/>
        </w:rPr>
      </w:pPr>
      <w:r w:rsidRPr="00EF6F38">
        <w:rPr>
          <w:rFonts w:asciiTheme="minorHAnsi" w:hAnsiTheme="minorHAnsi" w:cstheme="minorHAnsi"/>
        </w:rPr>
        <w:t xml:space="preserve">Inwestycja przyczyniająca się do cyfryzacji, automatyzacji lub robotyzacji procesów w przedsiębiorstwie oznacza </w:t>
      </w:r>
      <w:r w:rsidRPr="00EF6F38">
        <w:rPr>
          <w:rFonts w:asciiTheme="minorHAnsi" w:hAnsiTheme="minorHAnsi" w:cstheme="minorHAnsi"/>
          <w:color w:val="FF0000"/>
        </w:rPr>
        <w:t xml:space="preserve"> </w:t>
      </w:r>
      <w:r w:rsidRPr="00EF6F38">
        <w:rPr>
          <w:rFonts w:asciiTheme="minorHAnsi" w:hAnsiTheme="minorHAnsi" w:cstheme="minorHAnsi"/>
        </w:rPr>
        <w:t>zwiększenie wykorzystania systemów procesowych, przestawieniu firmy na cyfrowy łańcuch dostaw, wprowadzenie technologii do codziennej działalności.</w:t>
      </w:r>
    </w:p>
    <w:p w14:paraId="00ACB2BF" w14:textId="52CF5652" w:rsidR="00093A8E" w:rsidRPr="00EF6F38" w:rsidRDefault="00093A8E" w:rsidP="00E70B9E">
      <w:pPr>
        <w:jc w:val="both"/>
        <w:rPr>
          <w:rFonts w:asciiTheme="minorHAnsi" w:hAnsiTheme="minorHAnsi" w:cstheme="minorHAnsi"/>
        </w:rPr>
      </w:pPr>
      <w:r w:rsidRPr="00EF6F38">
        <w:rPr>
          <w:rFonts w:asciiTheme="minorHAnsi" w:hAnsiTheme="minorHAnsi" w:cstheme="minorHAnsi"/>
        </w:rPr>
        <w:t>Wnioskodawca powinien zapewnić, aby projekt w jego przeważającej części</w:t>
      </w:r>
      <w:r w:rsidR="00E66B12" w:rsidRPr="00EF6F38">
        <w:rPr>
          <w:rStyle w:val="Odwoanieprzypisudolnego"/>
          <w:rFonts w:asciiTheme="minorHAnsi" w:hAnsiTheme="minorHAnsi" w:cstheme="minorHAnsi"/>
        </w:rPr>
        <w:footnoteReference w:id="16"/>
      </w:r>
      <w:r w:rsidRPr="00EF6F38">
        <w:rPr>
          <w:rFonts w:asciiTheme="minorHAnsi" w:hAnsiTheme="minorHAnsi" w:cstheme="minorHAnsi"/>
        </w:rPr>
        <w:t xml:space="preserve"> dotyczył wdrożenia specjalistycznych rozwiązań cyfrowych, w skład któ</w:t>
      </w:r>
      <w:bookmarkStart w:id="3" w:name="_GoBack"/>
      <w:bookmarkEnd w:id="3"/>
      <w:r w:rsidRPr="00EF6F38">
        <w:rPr>
          <w:rFonts w:asciiTheme="minorHAnsi" w:hAnsiTheme="minorHAnsi" w:cstheme="minorHAnsi"/>
        </w:rPr>
        <w:t>rych wchodzą wdrożenia rozwiązań z zakresu automatyzacji i robotyzacji.</w:t>
      </w:r>
    </w:p>
    <w:p w14:paraId="7C52064D" w14:textId="485D4F7E" w:rsidR="00093A8E" w:rsidRPr="00EF6F38" w:rsidRDefault="00093A8E" w:rsidP="00093A8E">
      <w:pPr>
        <w:rPr>
          <w:rFonts w:asciiTheme="minorHAnsi" w:hAnsiTheme="minorHAnsi" w:cstheme="minorHAnsi"/>
        </w:rPr>
      </w:pPr>
      <w:r w:rsidRPr="00EF6F38">
        <w:rPr>
          <w:rFonts w:asciiTheme="minorHAnsi" w:hAnsiTheme="minorHAnsi" w:cstheme="minorHAnsi"/>
        </w:rPr>
        <w:t xml:space="preserve">Inwestycja nie otrzyma </w:t>
      </w:r>
      <w:r w:rsidR="00080313">
        <w:rPr>
          <w:rFonts w:asciiTheme="minorHAnsi" w:hAnsiTheme="minorHAnsi" w:cstheme="minorHAnsi"/>
        </w:rPr>
        <w:t>Dotacji</w:t>
      </w:r>
      <w:r w:rsidRPr="00EF6F38">
        <w:rPr>
          <w:rFonts w:asciiTheme="minorHAnsi" w:hAnsiTheme="minorHAnsi" w:cstheme="minorHAnsi"/>
        </w:rPr>
        <w:t xml:space="preserve">, jeżeli dotyczy wyłącznie niżej wymienionych obszarów: </w:t>
      </w:r>
    </w:p>
    <w:p w14:paraId="71C8ABA9" w14:textId="77777777" w:rsidR="00093A8E" w:rsidRPr="00EF6F38" w:rsidRDefault="00093A8E" w:rsidP="00093A8E">
      <w:pPr>
        <w:pStyle w:val="Akapitzlist"/>
        <w:numPr>
          <w:ilvl w:val="0"/>
          <w:numId w:val="23"/>
        </w:numPr>
        <w:rPr>
          <w:rFonts w:asciiTheme="minorHAnsi" w:hAnsiTheme="minorHAnsi" w:cstheme="minorHAnsi"/>
          <w:lang w:val="en-GB"/>
        </w:rPr>
      </w:pPr>
      <w:proofErr w:type="spellStart"/>
      <w:r w:rsidRPr="00EF6F38">
        <w:rPr>
          <w:rFonts w:asciiTheme="minorHAnsi" w:hAnsiTheme="minorHAnsi" w:cstheme="minorHAnsi"/>
          <w:lang w:val="en-GB"/>
        </w:rPr>
        <w:t>działania</w:t>
      </w:r>
      <w:proofErr w:type="spellEnd"/>
      <w:r w:rsidRPr="00EF6F38">
        <w:rPr>
          <w:rFonts w:asciiTheme="minorHAnsi" w:hAnsiTheme="minorHAnsi" w:cstheme="minorHAnsi"/>
          <w:lang w:val="en-GB"/>
        </w:rPr>
        <w:t xml:space="preserve"> </w:t>
      </w:r>
      <w:proofErr w:type="spellStart"/>
      <w:r w:rsidRPr="00EF6F38">
        <w:rPr>
          <w:rFonts w:asciiTheme="minorHAnsi" w:hAnsiTheme="minorHAnsi" w:cstheme="minorHAnsi"/>
          <w:lang w:val="en-GB"/>
        </w:rPr>
        <w:t>marketingowe</w:t>
      </w:r>
      <w:proofErr w:type="spellEnd"/>
      <w:r w:rsidRPr="00EF6F38">
        <w:rPr>
          <w:rFonts w:asciiTheme="minorHAnsi" w:hAnsiTheme="minorHAnsi" w:cstheme="minorHAnsi"/>
          <w:lang w:val="en-GB"/>
        </w:rPr>
        <w:t xml:space="preserve"> (E-Marketing); </w:t>
      </w:r>
    </w:p>
    <w:p w14:paraId="3A6E6928" w14:textId="77777777" w:rsidR="00093A8E" w:rsidRPr="00EF6F38" w:rsidRDefault="00093A8E" w:rsidP="00093A8E">
      <w:pPr>
        <w:pStyle w:val="Akapitzlist"/>
        <w:numPr>
          <w:ilvl w:val="0"/>
          <w:numId w:val="23"/>
        </w:numPr>
        <w:rPr>
          <w:rFonts w:asciiTheme="minorHAnsi" w:hAnsiTheme="minorHAnsi" w:cstheme="minorHAnsi"/>
          <w:lang w:val="en-GB"/>
        </w:rPr>
      </w:pPr>
      <w:r w:rsidRPr="00EF6F38">
        <w:rPr>
          <w:rFonts w:asciiTheme="minorHAnsi" w:hAnsiTheme="minorHAnsi" w:cstheme="minorHAnsi"/>
          <w:lang w:val="en-GB"/>
        </w:rPr>
        <w:t>Public Relations (E-PR);</w:t>
      </w:r>
    </w:p>
    <w:p w14:paraId="38C4F9A0" w14:textId="77777777" w:rsidR="00093A8E" w:rsidRPr="00EF6F38" w:rsidRDefault="00093A8E" w:rsidP="00093A8E">
      <w:pPr>
        <w:pStyle w:val="Akapitzlist"/>
        <w:numPr>
          <w:ilvl w:val="0"/>
          <w:numId w:val="23"/>
        </w:numPr>
        <w:rPr>
          <w:rFonts w:asciiTheme="minorHAnsi" w:hAnsiTheme="minorHAnsi" w:cstheme="minorHAnsi"/>
        </w:rPr>
      </w:pPr>
      <w:r w:rsidRPr="00EF6F38">
        <w:rPr>
          <w:rFonts w:asciiTheme="minorHAnsi" w:hAnsiTheme="minorHAnsi" w:cstheme="minorHAnsi"/>
        </w:rPr>
        <w:t xml:space="preserve">automatyzacja prac biurowych (OA - Office Automation); </w:t>
      </w:r>
    </w:p>
    <w:p w14:paraId="77A93DA6" w14:textId="77777777" w:rsidR="00093A8E" w:rsidRPr="00EF6F38" w:rsidRDefault="00093A8E" w:rsidP="00093A8E">
      <w:pPr>
        <w:pStyle w:val="Akapitzlist"/>
        <w:numPr>
          <w:ilvl w:val="0"/>
          <w:numId w:val="23"/>
        </w:numPr>
        <w:rPr>
          <w:rFonts w:asciiTheme="minorHAnsi" w:hAnsiTheme="minorHAnsi" w:cstheme="minorHAnsi"/>
        </w:rPr>
      </w:pPr>
      <w:r w:rsidRPr="00EF6F38">
        <w:rPr>
          <w:rFonts w:asciiTheme="minorHAnsi" w:hAnsiTheme="minorHAnsi" w:cstheme="minorHAnsi"/>
        </w:rPr>
        <w:t xml:space="preserve">przygotowanie publikacji (DTP - Desktop Publishing); </w:t>
      </w:r>
    </w:p>
    <w:p w14:paraId="32AEF0EF" w14:textId="77777777" w:rsidR="00093A8E" w:rsidRPr="00EF6F38" w:rsidRDefault="00093A8E" w:rsidP="00093A8E">
      <w:pPr>
        <w:pStyle w:val="Akapitzlist"/>
        <w:numPr>
          <w:ilvl w:val="0"/>
          <w:numId w:val="23"/>
        </w:numPr>
        <w:rPr>
          <w:rFonts w:asciiTheme="minorHAnsi" w:hAnsiTheme="minorHAnsi" w:cstheme="minorHAnsi"/>
        </w:rPr>
      </w:pPr>
      <w:r w:rsidRPr="00EF6F38">
        <w:rPr>
          <w:rFonts w:asciiTheme="minorHAnsi" w:hAnsiTheme="minorHAnsi" w:cstheme="minorHAnsi"/>
        </w:rPr>
        <w:t xml:space="preserve">wykorzystanie elektronicznych narzędzi komunikacji – poczta elektroniczna, komunikatory internetowe; </w:t>
      </w:r>
    </w:p>
    <w:p w14:paraId="7C5DBC64" w14:textId="77777777" w:rsidR="00093A8E" w:rsidRPr="00EF6F38" w:rsidRDefault="00093A8E" w:rsidP="00093A8E">
      <w:pPr>
        <w:pStyle w:val="Akapitzlist"/>
        <w:numPr>
          <w:ilvl w:val="0"/>
          <w:numId w:val="23"/>
        </w:numPr>
        <w:rPr>
          <w:rFonts w:asciiTheme="minorHAnsi" w:hAnsiTheme="minorHAnsi" w:cstheme="minorHAnsi"/>
        </w:rPr>
      </w:pPr>
      <w:r w:rsidRPr="00EF6F38">
        <w:rPr>
          <w:rFonts w:asciiTheme="minorHAnsi" w:hAnsiTheme="minorHAnsi" w:cstheme="minorHAnsi"/>
        </w:rPr>
        <w:t xml:space="preserve">płatności bezgotówkowe; </w:t>
      </w:r>
    </w:p>
    <w:p w14:paraId="331131AE" w14:textId="77777777" w:rsidR="00093A8E" w:rsidRPr="00EF6F38" w:rsidRDefault="00093A8E" w:rsidP="00093A8E">
      <w:pPr>
        <w:pStyle w:val="Akapitzlist"/>
        <w:numPr>
          <w:ilvl w:val="0"/>
          <w:numId w:val="23"/>
        </w:numPr>
        <w:rPr>
          <w:rFonts w:asciiTheme="minorHAnsi" w:hAnsiTheme="minorHAnsi" w:cstheme="minorHAnsi"/>
        </w:rPr>
      </w:pPr>
      <w:r w:rsidRPr="00EF6F38">
        <w:rPr>
          <w:rFonts w:asciiTheme="minorHAnsi" w:hAnsiTheme="minorHAnsi" w:cstheme="minorHAnsi"/>
        </w:rPr>
        <w:t>e-faktury.</w:t>
      </w:r>
    </w:p>
    <w:p w14:paraId="148C7EBF" w14:textId="1D3FCCD6" w:rsidR="00093A8E" w:rsidRPr="00EF6F38" w:rsidRDefault="00093A8E" w:rsidP="00093A8E">
      <w:pPr>
        <w:rPr>
          <w:rFonts w:asciiTheme="minorHAnsi" w:hAnsiTheme="minorHAnsi" w:cstheme="minorHAnsi"/>
          <w:i/>
        </w:rPr>
      </w:pPr>
      <w:r w:rsidRPr="00EF6F38">
        <w:rPr>
          <w:rFonts w:asciiTheme="minorHAnsi" w:hAnsiTheme="minorHAnsi" w:cstheme="minorHAnsi"/>
          <w:i/>
        </w:rPr>
        <w:t>Spełnienie warunku następuje w oparciu o dokumentację pożyczkową.</w:t>
      </w:r>
    </w:p>
    <w:p w14:paraId="6CE72C31" w14:textId="77777777" w:rsidR="00093A8E" w:rsidRPr="00EF6F38" w:rsidRDefault="00093A8E" w:rsidP="00093A8E">
      <w:pPr>
        <w:pStyle w:val="Akapitzlist"/>
        <w:numPr>
          <w:ilvl w:val="0"/>
          <w:numId w:val="19"/>
        </w:numPr>
        <w:rPr>
          <w:rFonts w:asciiTheme="minorHAnsi" w:hAnsiTheme="minorHAnsi" w:cstheme="minorHAnsi"/>
          <w:b/>
          <w:bCs/>
        </w:rPr>
      </w:pPr>
      <w:r w:rsidRPr="00EF6F38">
        <w:rPr>
          <w:rFonts w:asciiTheme="minorHAnsi" w:hAnsiTheme="minorHAnsi" w:cstheme="minorHAnsi"/>
          <w:b/>
          <w:bCs/>
        </w:rPr>
        <w:t xml:space="preserve">Warunek nr 2 – stworzenie i utrzymanie ( min. przez 1 rok) dodatkowego miejsca pracy. </w:t>
      </w:r>
    </w:p>
    <w:p w14:paraId="7B974696" w14:textId="77777777" w:rsidR="00093A8E" w:rsidRPr="00EF6F38" w:rsidRDefault="00093A8E" w:rsidP="00E70B9E">
      <w:pPr>
        <w:jc w:val="both"/>
        <w:rPr>
          <w:rFonts w:asciiTheme="minorHAnsi" w:hAnsiTheme="minorHAnsi" w:cstheme="minorHAnsi"/>
          <w:iCs/>
        </w:rPr>
      </w:pPr>
      <w:r w:rsidRPr="00EF6F38">
        <w:rPr>
          <w:rFonts w:asciiTheme="minorHAnsi" w:hAnsiTheme="minorHAnsi" w:cstheme="minorHAnsi"/>
          <w:iCs/>
        </w:rPr>
        <w:t xml:space="preserve">„Tworzenie nowych miejsc pracy”, oznacza wzrost netto liczby pracowników w danym przedsiębiorstwie w porównaniu ze średnią z poprzednich 12 miesięcy. Dlatego też od liczby miejsc pracy utworzonych w ciągu 12 miesięcy należy odjąć liczbę miejsc pracy zlikwidowanych w tym samym okresie (definicja ta obowiązuje zarówno istniejące, jak i nowe zakłady). </w:t>
      </w:r>
    </w:p>
    <w:p w14:paraId="757BF32E" w14:textId="77777777" w:rsidR="00093A8E" w:rsidRPr="00EF6F38" w:rsidRDefault="00093A8E" w:rsidP="00E70B9E">
      <w:pPr>
        <w:jc w:val="both"/>
        <w:rPr>
          <w:rFonts w:asciiTheme="minorHAnsi" w:hAnsiTheme="minorHAnsi" w:cstheme="minorHAnsi"/>
          <w:iCs/>
        </w:rPr>
      </w:pPr>
      <w:r w:rsidRPr="00EF6F38">
        <w:rPr>
          <w:rFonts w:asciiTheme="minorHAnsi" w:hAnsiTheme="minorHAnsi" w:cstheme="minorHAnsi"/>
          <w:iCs/>
        </w:rPr>
        <w:t>„Liczba pracowników” oznacza liczbę rocznych jednostek roboczych (RJR), czyli liczbę osób zatrudnionych w pełnym wymiarze czasu pracy w ciągu jednego roku, przy czym liczba osób zatrudnionych w niepełnym wymiarze czasu pracy i wykonujących prace sezonowe stanowi ułamkowe części RJR.</w:t>
      </w:r>
    </w:p>
    <w:p w14:paraId="743C7344" w14:textId="17A71E19" w:rsidR="00093A8E" w:rsidRPr="00EF6F38" w:rsidRDefault="00093A8E" w:rsidP="005C0151">
      <w:pPr>
        <w:spacing w:after="120"/>
        <w:rPr>
          <w:rFonts w:asciiTheme="minorHAnsi" w:hAnsiTheme="minorHAnsi" w:cstheme="minorHAnsi"/>
          <w:i/>
        </w:rPr>
      </w:pPr>
      <w:r w:rsidRPr="00EF6F38">
        <w:rPr>
          <w:rFonts w:asciiTheme="minorHAnsi" w:hAnsiTheme="minorHAnsi" w:cstheme="minorHAnsi"/>
          <w:i/>
        </w:rPr>
        <w:t>Spełnienie warunku następuje w oparciu o dokumentację pożyczkową.</w:t>
      </w:r>
    </w:p>
    <w:p w14:paraId="4E1EFD3A" w14:textId="77777777" w:rsidR="00093A8E" w:rsidRPr="00EF6F38" w:rsidRDefault="00093A8E" w:rsidP="00093A8E">
      <w:pPr>
        <w:pStyle w:val="Akapitzlist"/>
        <w:numPr>
          <w:ilvl w:val="0"/>
          <w:numId w:val="19"/>
        </w:numPr>
        <w:rPr>
          <w:rFonts w:asciiTheme="minorHAnsi" w:hAnsiTheme="minorHAnsi" w:cstheme="minorHAnsi"/>
          <w:b/>
          <w:bCs/>
        </w:rPr>
      </w:pPr>
      <w:r w:rsidRPr="00EF6F38">
        <w:rPr>
          <w:rFonts w:asciiTheme="minorHAnsi" w:hAnsiTheme="minorHAnsi" w:cstheme="minorHAnsi"/>
          <w:b/>
          <w:bCs/>
        </w:rPr>
        <w:t xml:space="preserve">Warunek nr 3 – w wyniku realizacji przedsięwzięcia powstała innowacja na poziomie krajowym </w:t>
      </w:r>
    </w:p>
    <w:p w14:paraId="15E567EC" w14:textId="77777777" w:rsidR="00093A8E" w:rsidRPr="00EF6F38" w:rsidRDefault="00093A8E" w:rsidP="00E70B9E">
      <w:pPr>
        <w:jc w:val="both"/>
        <w:rPr>
          <w:rFonts w:asciiTheme="minorHAnsi" w:hAnsiTheme="minorHAnsi" w:cstheme="minorHAnsi"/>
        </w:rPr>
      </w:pPr>
      <w:r w:rsidRPr="00EF6F38">
        <w:rPr>
          <w:rFonts w:asciiTheme="minorHAnsi" w:hAnsiTheme="minorHAnsi" w:cstheme="minorHAnsi"/>
        </w:rPr>
        <w:t xml:space="preserve">Poprzez innowację na poziomie krajowym rozumie się wdrożenie innowacji stosowanej w kraju nie dłużej niż 3 lata (licząc od daty złożenia wniosku o pożyczkę). Wraz z wnioskiem o pożyczkę pożyczkobiorca zobowiązany jest przedstawić opinię o innowacyjności wystawioną przez jednostkę naukową w rozumieniu art. 2 pkt 9 ustawy z dnia 30 kwietnia 2010 r. o zasadach finansowania nauki (tekst jednolity z 2018 r., poz. 87 z </w:t>
      </w:r>
      <w:proofErr w:type="spellStart"/>
      <w:r w:rsidRPr="00EF6F38">
        <w:rPr>
          <w:rFonts w:asciiTheme="minorHAnsi" w:hAnsiTheme="minorHAnsi" w:cstheme="minorHAnsi"/>
        </w:rPr>
        <w:t>późn</w:t>
      </w:r>
      <w:proofErr w:type="spellEnd"/>
      <w:r w:rsidRPr="00EF6F38">
        <w:rPr>
          <w:rFonts w:asciiTheme="minorHAnsi" w:hAnsiTheme="minorHAnsi" w:cstheme="minorHAnsi"/>
        </w:rPr>
        <w:t>. zm.).</w:t>
      </w:r>
    </w:p>
    <w:p w14:paraId="1CD09803" w14:textId="77777777" w:rsidR="00093A8E" w:rsidRPr="00EF6F38" w:rsidRDefault="00093A8E" w:rsidP="00093A8E">
      <w:pPr>
        <w:rPr>
          <w:rFonts w:asciiTheme="minorHAnsi" w:hAnsiTheme="minorHAnsi" w:cstheme="minorHAnsi"/>
        </w:rPr>
      </w:pPr>
      <w:r w:rsidRPr="00EF6F38">
        <w:rPr>
          <w:rFonts w:asciiTheme="minorHAnsi" w:hAnsiTheme="minorHAnsi" w:cstheme="minorHAnsi"/>
        </w:rPr>
        <w:lastRenderedPageBreak/>
        <w:t xml:space="preserve">Opinia powinna potwierdzać okres i zakres stosowania technologii będącej przedmiotem inwestycji końcowej. </w:t>
      </w:r>
    </w:p>
    <w:p w14:paraId="09646550" w14:textId="77777777" w:rsidR="00093A8E" w:rsidRPr="00EF6F38" w:rsidRDefault="00093A8E" w:rsidP="00093A8E">
      <w:pPr>
        <w:rPr>
          <w:rFonts w:asciiTheme="minorHAnsi" w:hAnsiTheme="minorHAnsi" w:cstheme="minorHAnsi"/>
        </w:rPr>
      </w:pPr>
      <w:r w:rsidRPr="00EF6F38">
        <w:rPr>
          <w:rFonts w:asciiTheme="minorHAnsi" w:hAnsiTheme="minorHAnsi" w:cstheme="minorHAnsi"/>
        </w:rPr>
        <w:t xml:space="preserve">Opinie o innowacyjności OO przedstawia na etapie wnioskowania o pożyczkę.  </w:t>
      </w:r>
    </w:p>
    <w:p w14:paraId="6B8F66B5" w14:textId="77777777" w:rsidR="00093A8E" w:rsidRPr="00EF6F38" w:rsidRDefault="00093A8E" w:rsidP="00093A8E">
      <w:pPr>
        <w:rPr>
          <w:rFonts w:asciiTheme="minorHAnsi" w:hAnsiTheme="minorHAnsi" w:cstheme="minorHAnsi"/>
          <w:b/>
          <w:bCs/>
          <w:i/>
          <w:iCs/>
        </w:rPr>
      </w:pPr>
      <w:r w:rsidRPr="00EF6F38">
        <w:rPr>
          <w:rFonts w:asciiTheme="minorHAnsi" w:hAnsiTheme="minorHAnsi" w:cstheme="minorHAnsi"/>
          <w:i/>
          <w:iCs/>
        </w:rPr>
        <w:t>Spełnienie warunków</w:t>
      </w:r>
      <w:r w:rsidRPr="00EF6F38">
        <w:rPr>
          <w:rFonts w:asciiTheme="minorHAnsi" w:hAnsiTheme="minorHAnsi" w:cstheme="minorHAnsi"/>
          <w:b/>
          <w:bCs/>
          <w:i/>
          <w:iCs/>
        </w:rPr>
        <w:t xml:space="preserve"> </w:t>
      </w:r>
      <w:r w:rsidRPr="00EF6F38">
        <w:rPr>
          <w:rFonts w:asciiTheme="minorHAnsi" w:hAnsiTheme="minorHAnsi" w:cstheme="minorHAnsi"/>
          <w:i/>
          <w:iCs/>
        </w:rPr>
        <w:t>następuje w oparciu o dokumentację pożyczkową.</w:t>
      </w:r>
    </w:p>
    <w:p w14:paraId="776413E1" w14:textId="77777777" w:rsidR="00093A8E" w:rsidRPr="00EF6F38" w:rsidRDefault="00093A8E" w:rsidP="00093A8E">
      <w:pPr>
        <w:pStyle w:val="Akapitzlist"/>
        <w:numPr>
          <w:ilvl w:val="0"/>
          <w:numId w:val="19"/>
        </w:numPr>
        <w:rPr>
          <w:rFonts w:asciiTheme="minorHAnsi" w:hAnsiTheme="minorHAnsi" w:cstheme="minorHAnsi"/>
          <w:b/>
        </w:rPr>
      </w:pPr>
      <w:r w:rsidRPr="00EF6F38">
        <w:rPr>
          <w:rFonts w:asciiTheme="minorHAnsi" w:hAnsiTheme="minorHAnsi" w:cstheme="minorHAnsi"/>
          <w:b/>
        </w:rPr>
        <w:t xml:space="preserve">Warunek 4 </w:t>
      </w:r>
    </w:p>
    <w:p w14:paraId="555B8EC1" w14:textId="2D763A04" w:rsidR="00093A8E" w:rsidRPr="00EF6F38" w:rsidRDefault="00093A8E" w:rsidP="00E70B9E">
      <w:pPr>
        <w:jc w:val="both"/>
        <w:rPr>
          <w:rFonts w:asciiTheme="minorHAnsi" w:hAnsiTheme="minorHAnsi" w:cstheme="minorHAnsi"/>
          <w:b/>
        </w:rPr>
      </w:pPr>
      <w:r w:rsidRPr="00EF6F38">
        <w:rPr>
          <w:rFonts w:asciiTheme="minorHAnsi" w:hAnsiTheme="minorHAnsi" w:cstheme="minorHAnsi"/>
          <w:b/>
        </w:rPr>
        <w:t xml:space="preserve">Inwestycje realizowanych na terenach gmin, dla których </w:t>
      </w:r>
      <w:r w:rsidR="00054DF4" w:rsidRPr="00EF6F38">
        <w:rPr>
          <w:rFonts w:asciiTheme="minorHAnsi" w:hAnsiTheme="minorHAnsi" w:cstheme="minorHAnsi"/>
          <w:b/>
        </w:rPr>
        <w:t>dla indywidualny wskaźnik zamożności jednostki samorządu terytorialnego</w:t>
      </w:r>
      <w:r w:rsidR="00DB54E8" w:rsidRPr="00EF6F38">
        <w:rPr>
          <w:rFonts w:asciiTheme="minorHAnsi" w:hAnsiTheme="minorHAnsi" w:cstheme="minorHAnsi"/>
          <w:b/>
        </w:rPr>
        <w:t xml:space="preserve"> </w:t>
      </w:r>
      <w:r w:rsidRPr="00EF6F38">
        <w:rPr>
          <w:rFonts w:asciiTheme="minorHAnsi" w:hAnsiTheme="minorHAnsi" w:cstheme="minorHAnsi"/>
          <w:b/>
        </w:rPr>
        <w:t>jest poniżej średniej regionalnej lub OSI Obszary Marginalizacji lub OSI Miasta tracące funkcje społeczno-gospodarcze lub Integratora Mazurskiego lub na terenie przygranicznych powiatów województwa.</w:t>
      </w:r>
    </w:p>
    <w:p w14:paraId="3480713C" w14:textId="15542969" w:rsidR="00093A8E" w:rsidRPr="00EF6F38" w:rsidRDefault="00093A8E" w:rsidP="00E70B9E">
      <w:pPr>
        <w:jc w:val="both"/>
        <w:rPr>
          <w:rFonts w:asciiTheme="minorHAnsi" w:hAnsiTheme="minorHAnsi" w:cstheme="minorHAnsi"/>
          <w:b/>
          <w:bCs/>
          <w:color w:val="000000" w:themeColor="text1"/>
        </w:rPr>
      </w:pPr>
      <w:r w:rsidRPr="00EF6F38">
        <w:rPr>
          <w:rFonts w:asciiTheme="minorHAnsi" w:hAnsiTheme="minorHAnsi" w:cstheme="minorHAnsi"/>
          <w:b/>
          <w:bCs/>
          <w:color w:val="000000" w:themeColor="text1"/>
        </w:rPr>
        <w:t xml:space="preserve">Tabela 1. Wykaz gmin, dla których </w:t>
      </w:r>
      <w:r w:rsidR="00054DF4" w:rsidRPr="00EF6F38">
        <w:rPr>
          <w:rFonts w:asciiTheme="minorHAnsi" w:hAnsiTheme="minorHAnsi" w:cstheme="minorHAnsi"/>
          <w:b/>
          <w:bCs/>
          <w:color w:val="000000" w:themeColor="text1"/>
        </w:rPr>
        <w:t xml:space="preserve">dla indywidualny wskaźnik zamożności jednostki samorządu terytorialnego </w:t>
      </w:r>
      <w:r w:rsidRPr="00EF6F38">
        <w:rPr>
          <w:rFonts w:asciiTheme="minorHAnsi" w:hAnsiTheme="minorHAnsi" w:cstheme="minorHAnsi"/>
          <w:b/>
          <w:bCs/>
          <w:color w:val="000000" w:themeColor="text1"/>
        </w:rPr>
        <w:t>jest poniżej średniej regionalnej</w:t>
      </w:r>
    </w:p>
    <w:p w14:paraId="3E84CC96" w14:textId="77777777" w:rsidR="00093A8E" w:rsidRPr="00EF6F38" w:rsidRDefault="00093A8E" w:rsidP="00093A8E">
      <w:pPr>
        <w:pStyle w:val="pf1"/>
        <w:spacing w:before="0" w:beforeAutospacing="0" w:after="0" w:afterAutospacing="0"/>
        <w:rPr>
          <w:rFonts w:asciiTheme="minorHAnsi" w:hAnsiTheme="minorHAnsi" w:cstheme="minorHAnsi"/>
          <w:sz w:val="22"/>
          <w:szCs w:val="22"/>
        </w:rPr>
      </w:pPr>
      <w:r w:rsidRPr="00EF6F38">
        <w:rPr>
          <w:rStyle w:val="cf21"/>
          <w:rFonts w:asciiTheme="minorHAnsi" w:hAnsiTheme="minorHAnsi" w:cstheme="minorHAnsi"/>
          <w:sz w:val="22"/>
          <w:szCs w:val="22"/>
        </w:rPr>
        <w:t xml:space="preserve">Informacja rokrocznie (styczeń) umieszczana będzie na stronie programu regionalnego </w:t>
      </w:r>
      <w:proofErr w:type="spellStart"/>
      <w:r w:rsidRPr="00EF6F38">
        <w:rPr>
          <w:rStyle w:val="cf21"/>
          <w:rFonts w:asciiTheme="minorHAnsi" w:hAnsiTheme="minorHAnsi" w:cstheme="minorHAnsi"/>
          <w:sz w:val="22"/>
          <w:szCs w:val="22"/>
        </w:rPr>
        <w:t>FEWiM</w:t>
      </w:r>
      <w:proofErr w:type="spellEnd"/>
      <w:r w:rsidRPr="00EF6F38">
        <w:rPr>
          <w:rStyle w:val="cf21"/>
          <w:rFonts w:asciiTheme="minorHAnsi" w:hAnsiTheme="minorHAnsi" w:cstheme="minorHAnsi"/>
          <w:sz w:val="22"/>
          <w:szCs w:val="22"/>
        </w:rPr>
        <w:t xml:space="preserve"> 2021 – 2027 </w:t>
      </w:r>
    </w:p>
    <w:p w14:paraId="07A95C67" w14:textId="77777777" w:rsidR="00093A8E" w:rsidRPr="00EF6F38" w:rsidRDefault="00D34472" w:rsidP="00093A8E">
      <w:pPr>
        <w:pStyle w:val="pf0"/>
        <w:spacing w:before="0" w:beforeAutospacing="0" w:after="0" w:afterAutospacing="0"/>
        <w:rPr>
          <w:rFonts w:asciiTheme="minorHAnsi" w:hAnsiTheme="minorHAnsi" w:cstheme="minorHAnsi"/>
          <w:sz w:val="22"/>
          <w:szCs w:val="22"/>
        </w:rPr>
      </w:pPr>
      <w:hyperlink r:id="rId8" w:history="1">
        <w:r w:rsidR="00093A8E" w:rsidRPr="00EF6F38">
          <w:rPr>
            <w:rStyle w:val="cf21"/>
            <w:rFonts w:asciiTheme="minorHAnsi" w:hAnsiTheme="minorHAnsi" w:cstheme="minorHAnsi"/>
            <w:color w:val="0000FF"/>
            <w:sz w:val="22"/>
            <w:szCs w:val="22"/>
            <w:u w:val="single"/>
          </w:rPr>
          <w:t>https://funduszeeuropejskie.warmia.mazury.pl/</w:t>
        </w:r>
      </w:hyperlink>
    </w:p>
    <w:p w14:paraId="074AA0F5" w14:textId="77777777" w:rsidR="00093A8E" w:rsidRPr="00EF6F38" w:rsidRDefault="00093A8E" w:rsidP="00093A8E">
      <w:pPr>
        <w:pStyle w:val="pf0"/>
        <w:spacing w:before="0" w:beforeAutospacing="0" w:after="0" w:afterAutospacing="0"/>
        <w:rPr>
          <w:rFonts w:asciiTheme="minorHAnsi" w:hAnsiTheme="minorHAnsi" w:cstheme="minorHAnsi"/>
          <w:sz w:val="22"/>
          <w:szCs w:val="22"/>
        </w:rPr>
      </w:pPr>
      <w:r w:rsidRPr="00EF6F38">
        <w:rPr>
          <w:rStyle w:val="cf21"/>
          <w:rFonts w:asciiTheme="minorHAnsi" w:hAnsiTheme="minorHAnsi" w:cstheme="minorHAnsi"/>
          <w:sz w:val="22"/>
          <w:szCs w:val="22"/>
        </w:rPr>
        <w:t xml:space="preserve">Link bezpośredni: </w:t>
      </w:r>
    </w:p>
    <w:p w14:paraId="01027F54" w14:textId="6210C32E" w:rsidR="00093A8E" w:rsidRPr="00EF6F38" w:rsidRDefault="00D34472" w:rsidP="00C30C40">
      <w:pPr>
        <w:pStyle w:val="pf0"/>
        <w:spacing w:before="0" w:beforeAutospacing="0" w:after="120" w:afterAutospacing="0"/>
        <w:rPr>
          <w:rFonts w:asciiTheme="minorHAnsi" w:hAnsiTheme="minorHAnsi" w:cstheme="minorHAnsi"/>
          <w:color w:val="0000FF"/>
          <w:sz w:val="22"/>
          <w:szCs w:val="22"/>
          <w:u w:val="single"/>
        </w:rPr>
      </w:pPr>
      <w:hyperlink r:id="rId9" w:history="1">
        <w:r w:rsidR="00093A8E" w:rsidRPr="00EF6F38">
          <w:rPr>
            <w:rStyle w:val="cf21"/>
            <w:rFonts w:asciiTheme="minorHAnsi" w:hAnsiTheme="minorHAnsi" w:cstheme="minorHAnsi"/>
            <w:color w:val="0000FF"/>
            <w:sz w:val="22"/>
            <w:szCs w:val="22"/>
            <w:u w:val="single"/>
          </w:rPr>
          <w:t>https://funduszeeuropejskie.warmia.mazury.pl/artykul/469/wskaznik-g</w:t>
        </w:r>
      </w:hyperlink>
    </w:p>
    <w:p w14:paraId="57DB6EF0" w14:textId="77777777" w:rsidR="00093A8E" w:rsidRPr="00EF6F38" w:rsidRDefault="00093A8E" w:rsidP="00093A8E">
      <w:pPr>
        <w:jc w:val="both"/>
        <w:rPr>
          <w:rFonts w:asciiTheme="minorHAnsi" w:hAnsiTheme="minorHAnsi" w:cstheme="minorHAnsi"/>
          <w:b/>
          <w:bCs/>
          <w:color w:val="000000" w:themeColor="text1"/>
        </w:rPr>
      </w:pPr>
      <w:r w:rsidRPr="00EF6F38">
        <w:rPr>
          <w:rFonts w:asciiTheme="minorHAnsi" w:hAnsiTheme="minorHAnsi" w:cstheme="minorHAnsi"/>
          <w:b/>
          <w:bCs/>
          <w:color w:val="000000" w:themeColor="text1"/>
        </w:rPr>
        <w:t>Tabela 2. Wykaz obszarów OSI Obszary Marginalizacji</w:t>
      </w:r>
    </w:p>
    <w:tbl>
      <w:tblPr>
        <w:tblStyle w:val="nowy1"/>
        <w:tblW w:w="0" w:type="auto"/>
        <w:tblLook w:val="04A0" w:firstRow="1" w:lastRow="0" w:firstColumn="1" w:lastColumn="0" w:noHBand="0" w:noVBand="1"/>
      </w:tblPr>
      <w:tblGrid>
        <w:gridCol w:w="2888"/>
        <w:gridCol w:w="3313"/>
        <w:gridCol w:w="2861"/>
      </w:tblGrid>
      <w:tr w:rsidR="00093A8E" w:rsidRPr="00EF6F38" w14:paraId="267DA4EF" w14:textId="77777777" w:rsidTr="00D06F12">
        <w:tc>
          <w:tcPr>
            <w:tcW w:w="2888" w:type="dxa"/>
            <w:tcBorders>
              <w:bottom w:val="single" w:sz="4" w:space="0" w:color="auto"/>
            </w:tcBorders>
          </w:tcPr>
          <w:p w14:paraId="183BDA96" w14:textId="77777777" w:rsidR="00093A8E" w:rsidRPr="00EF6F38" w:rsidRDefault="00093A8E" w:rsidP="00D06F12">
            <w:pPr>
              <w:rPr>
                <w:rFonts w:asciiTheme="minorHAnsi" w:hAnsiTheme="minorHAnsi" w:cstheme="minorHAnsi"/>
                <w:iCs/>
                <w:color w:val="000000" w:themeColor="text1"/>
                <w:lang w:eastAsia="ja-JP"/>
              </w:rPr>
            </w:pPr>
            <w:r w:rsidRPr="00EF6F38">
              <w:rPr>
                <w:rFonts w:asciiTheme="minorHAnsi" w:hAnsiTheme="minorHAnsi" w:cstheme="minorHAnsi"/>
                <w:iCs/>
                <w:color w:val="000000" w:themeColor="text1"/>
                <w:lang w:eastAsia="ja-JP"/>
              </w:rPr>
              <w:t xml:space="preserve">gminy miejsko-wiejskie: </w:t>
            </w:r>
          </w:p>
        </w:tc>
        <w:tc>
          <w:tcPr>
            <w:tcW w:w="3313" w:type="dxa"/>
            <w:tcBorders>
              <w:bottom w:val="single" w:sz="4" w:space="0" w:color="auto"/>
            </w:tcBorders>
          </w:tcPr>
          <w:p w14:paraId="4B3D72ED" w14:textId="77777777" w:rsidR="00093A8E" w:rsidRPr="00EF6F38" w:rsidRDefault="00093A8E" w:rsidP="00D06F12">
            <w:pPr>
              <w:rPr>
                <w:rFonts w:asciiTheme="minorHAnsi" w:hAnsiTheme="minorHAnsi" w:cstheme="minorHAnsi"/>
                <w:iCs/>
                <w:color w:val="000000" w:themeColor="text1"/>
                <w:lang w:eastAsia="ja-JP"/>
              </w:rPr>
            </w:pPr>
            <w:r w:rsidRPr="00EF6F38">
              <w:rPr>
                <w:rFonts w:asciiTheme="minorHAnsi" w:hAnsiTheme="minorHAnsi" w:cstheme="minorHAnsi"/>
                <w:iCs/>
                <w:color w:val="000000" w:themeColor="text1"/>
                <w:lang w:eastAsia="ja-JP"/>
              </w:rPr>
              <w:t xml:space="preserve">gminy wiejskie: </w:t>
            </w:r>
          </w:p>
        </w:tc>
        <w:tc>
          <w:tcPr>
            <w:tcW w:w="2861" w:type="dxa"/>
            <w:tcBorders>
              <w:bottom w:val="single" w:sz="4" w:space="0" w:color="auto"/>
            </w:tcBorders>
          </w:tcPr>
          <w:p w14:paraId="0F6EBE0D" w14:textId="77777777" w:rsidR="00093A8E" w:rsidRPr="00EF6F38" w:rsidRDefault="00093A8E" w:rsidP="00D06F12">
            <w:pPr>
              <w:rPr>
                <w:rFonts w:asciiTheme="minorHAnsi" w:hAnsiTheme="minorHAnsi" w:cstheme="minorHAnsi"/>
                <w:iCs/>
                <w:color w:val="000000" w:themeColor="text1"/>
                <w:lang w:eastAsia="ja-JP"/>
              </w:rPr>
            </w:pPr>
            <w:r w:rsidRPr="00EF6F38">
              <w:rPr>
                <w:rFonts w:asciiTheme="minorHAnsi" w:hAnsiTheme="minorHAnsi" w:cstheme="minorHAnsi"/>
                <w:color w:val="000000" w:themeColor="text1"/>
                <w:lang w:eastAsia="ja-JP"/>
              </w:rPr>
              <w:t>Gmina miejska</w:t>
            </w:r>
          </w:p>
        </w:tc>
      </w:tr>
      <w:tr w:rsidR="00093A8E" w:rsidRPr="00EF6F38" w14:paraId="59147A4B" w14:textId="77777777" w:rsidTr="00D06F12">
        <w:tc>
          <w:tcPr>
            <w:tcW w:w="2888" w:type="dxa"/>
          </w:tcPr>
          <w:p w14:paraId="3D2D1EBF" w14:textId="77777777" w:rsidR="00093A8E" w:rsidRPr="00EF6F38" w:rsidRDefault="00093A8E" w:rsidP="00D06F12">
            <w:pPr>
              <w:rPr>
                <w:rFonts w:asciiTheme="minorHAnsi" w:hAnsiTheme="minorHAnsi" w:cstheme="minorHAnsi"/>
                <w:iCs/>
                <w:color w:val="000000" w:themeColor="text1"/>
                <w:lang w:eastAsia="ja-JP"/>
              </w:rPr>
            </w:pPr>
            <w:r w:rsidRPr="00EF6F38">
              <w:rPr>
                <w:rFonts w:asciiTheme="minorHAnsi" w:hAnsiTheme="minorHAnsi" w:cstheme="minorHAnsi"/>
                <w:iCs/>
                <w:color w:val="000000" w:themeColor="text1"/>
                <w:lang w:eastAsia="ja-JP"/>
              </w:rPr>
              <w:t xml:space="preserve">Biała Piska, Bisztynek, , </w:t>
            </w:r>
            <w:r w:rsidRPr="00EF6F38">
              <w:rPr>
                <w:rFonts w:asciiTheme="minorHAnsi" w:hAnsiTheme="minorHAnsi" w:cstheme="minorHAnsi"/>
                <w:iCs/>
                <w:color w:val="000000" w:themeColor="text1"/>
              </w:rPr>
              <w:t xml:space="preserve">Jeziorany, </w:t>
            </w:r>
            <w:r w:rsidRPr="00EF6F38">
              <w:rPr>
                <w:rFonts w:asciiTheme="minorHAnsi" w:hAnsiTheme="minorHAnsi" w:cstheme="minorHAnsi"/>
                <w:iCs/>
                <w:color w:val="000000" w:themeColor="text1"/>
                <w:lang w:eastAsia="ja-JP"/>
              </w:rPr>
              <w:t xml:space="preserve">Kisielice, Korsze, Lidzbark, Mikołajki, Miłakowo, Młynary, Orneta, Orzysz, Pieniężno, Reszel, Ruciane- Nida, Ryn, Sępopol, Susz, Tolkmicko, Wielbark, Zalewo </w:t>
            </w:r>
          </w:p>
          <w:p w14:paraId="07014887" w14:textId="77777777" w:rsidR="00093A8E" w:rsidRPr="00EF6F38" w:rsidRDefault="00093A8E" w:rsidP="00D06F12">
            <w:pPr>
              <w:jc w:val="both"/>
              <w:rPr>
                <w:rFonts w:asciiTheme="minorHAnsi" w:hAnsiTheme="minorHAnsi" w:cstheme="minorHAnsi"/>
                <w:iCs/>
                <w:color w:val="000000" w:themeColor="text1"/>
              </w:rPr>
            </w:pPr>
          </w:p>
        </w:tc>
        <w:tc>
          <w:tcPr>
            <w:tcW w:w="3313" w:type="dxa"/>
          </w:tcPr>
          <w:p w14:paraId="57480CED" w14:textId="77777777" w:rsidR="00093A8E" w:rsidRPr="00EF6F38" w:rsidRDefault="00093A8E" w:rsidP="00C30C40">
            <w:pPr>
              <w:spacing w:after="0"/>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Banie Mazurskie, Barciany, Bartoszyce, Biskupiec, Braniewo, Budry, Dąbrówno, Dubeninki, Działdowo, Dźwierzuty, Godkowo, Grodziczno, Grunwald, Górowo Iławeckie, Janowiec Kościelny, Janowo, Kalinowo, Kętrzyn, Kiwity, Kolno, Kowale Oleckie, Kozłowo, Lelkowo, Lubawa, Lubomino, Małdyty, Markusy, Miłki, Nowe Miasto Lubawskie, Piecki, Płoskinia, Płośnica, Pozezdrze, Prostki, Rozogi, Rybno, Rychliki, Sorkwity, Srokowo, Stare Juchy, Świątki, Świętajno (powiat olecki), Wieliczki, Wilczęta, Wydminy</w:t>
            </w:r>
          </w:p>
        </w:tc>
        <w:tc>
          <w:tcPr>
            <w:tcW w:w="2861" w:type="dxa"/>
          </w:tcPr>
          <w:p w14:paraId="0224CE8C" w14:textId="77777777" w:rsidR="00093A8E" w:rsidRPr="00EF6F38" w:rsidRDefault="00093A8E" w:rsidP="00D06F12">
            <w:p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Górowo Iławeckie</w:t>
            </w:r>
          </w:p>
        </w:tc>
      </w:tr>
    </w:tbl>
    <w:p w14:paraId="01A47A40" w14:textId="77777777" w:rsidR="00093A8E" w:rsidRPr="00EF6F38" w:rsidRDefault="00093A8E" w:rsidP="00093A8E">
      <w:pPr>
        <w:pBdr>
          <w:bar w:val="single" w:sz="4" w:color="auto"/>
        </w:pBdr>
        <w:spacing w:after="0"/>
        <w:jc w:val="both"/>
        <w:rPr>
          <w:rFonts w:asciiTheme="minorHAnsi" w:hAnsiTheme="minorHAnsi" w:cstheme="minorHAnsi"/>
          <w:color w:val="000000" w:themeColor="text1"/>
        </w:rPr>
      </w:pPr>
    </w:p>
    <w:p w14:paraId="1DF29C0E" w14:textId="77777777" w:rsidR="00093A8E" w:rsidRPr="00EF6F38" w:rsidRDefault="00093A8E" w:rsidP="00093A8E">
      <w:pPr>
        <w:jc w:val="both"/>
        <w:rPr>
          <w:rFonts w:asciiTheme="minorHAnsi" w:hAnsiTheme="minorHAnsi" w:cstheme="minorHAnsi"/>
          <w:b/>
          <w:bCs/>
          <w:color w:val="000000" w:themeColor="text1"/>
        </w:rPr>
      </w:pPr>
      <w:r w:rsidRPr="00EF6F38">
        <w:rPr>
          <w:rFonts w:asciiTheme="minorHAnsi" w:hAnsiTheme="minorHAnsi" w:cstheme="minorHAnsi"/>
          <w:b/>
          <w:bCs/>
          <w:color w:val="000000" w:themeColor="text1"/>
        </w:rPr>
        <w:t>Tabela 3. Wykaz obszarów OSI Miasta tracące funkcje społeczno-gospodarcze</w:t>
      </w:r>
    </w:p>
    <w:tbl>
      <w:tblPr>
        <w:tblStyle w:val="nowy1"/>
        <w:tblW w:w="0" w:type="auto"/>
        <w:tblLook w:val="04A0" w:firstRow="1" w:lastRow="0" w:firstColumn="1" w:lastColumn="0" w:noHBand="0" w:noVBand="1"/>
      </w:tblPr>
      <w:tblGrid>
        <w:gridCol w:w="4220"/>
        <w:gridCol w:w="4842"/>
      </w:tblGrid>
      <w:tr w:rsidR="00093A8E" w:rsidRPr="00EF6F38" w14:paraId="3FB40598" w14:textId="77777777" w:rsidTr="00D06F12">
        <w:trPr>
          <w:trHeight w:val="100"/>
        </w:trPr>
        <w:tc>
          <w:tcPr>
            <w:tcW w:w="4220" w:type="dxa"/>
          </w:tcPr>
          <w:p w14:paraId="7F597E67" w14:textId="77777777" w:rsidR="00093A8E" w:rsidRPr="00EF6F38" w:rsidRDefault="00093A8E" w:rsidP="00D06F12">
            <w:pPr>
              <w:jc w:val="both"/>
              <w:rPr>
                <w:rFonts w:asciiTheme="minorHAnsi" w:hAnsiTheme="minorHAnsi" w:cstheme="minorHAnsi"/>
                <w:color w:val="000000" w:themeColor="text1"/>
              </w:rPr>
            </w:pPr>
            <w:r w:rsidRPr="00EF6F38">
              <w:rPr>
                <w:rFonts w:asciiTheme="minorHAnsi" w:hAnsiTheme="minorHAnsi" w:cstheme="minorHAnsi"/>
                <w:color w:val="000000" w:themeColor="text1"/>
                <w:lang w:eastAsia="ja-JP"/>
              </w:rPr>
              <w:t>Miasta w gminach miejsko-wiejskich:</w:t>
            </w:r>
          </w:p>
        </w:tc>
        <w:tc>
          <w:tcPr>
            <w:tcW w:w="4842" w:type="dxa"/>
          </w:tcPr>
          <w:p w14:paraId="27533F66" w14:textId="77777777" w:rsidR="00093A8E" w:rsidRPr="00EF6F38" w:rsidRDefault="00093A8E" w:rsidP="00D06F12">
            <w:pPr>
              <w:jc w:val="both"/>
              <w:rPr>
                <w:rFonts w:asciiTheme="minorHAnsi" w:hAnsiTheme="minorHAnsi" w:cstheme="minorHAnsi"/>
                <w:color w:val="000000" w:themeColor="text1"/>
              </w:rPr>
            </w:pPr>
            <w:r w:rsidRPr="00EF6F38">
              <w:rPr>
                <w:rFonts w:asciiTheme="minorHAnsi" w:hAnsiTheme="minorHAnsi" w:cstheme="minorHAnsi"/>
                <w:color w:val="000000" w:themeColor="text1"/>
                <w:lang w:eastAsia="ja-JP"/>
              </w:rPr>
              <w:t>gminy miejskie:</w:t>
            </w:r>
          </w:p>
        </w:tc>
      </w:tr>
      <w:tr w:rsidR="00093A8E" w:rsidRPr="00EF6F38" w14:paraId="43DA0056" w14:textId="77777777" w:rsidTr="00D06F12">
        <w:trPr>
          <w:trHeight w:val="640"/>
        </w:trPr>
        <w:tc>
          <w:tcPr>
            <w:tcW w:w="4220" w:type="dxa"/>
          </w:tcPr>
          <w:p w14:paraId="78477461" w14:textId="77777777" w:rsidR="00093A8E" w:rsidRPr="00EF6F38" w:rsidRDefault="00093A8E" w:rsidP="00D06F12">
            <w:pPr>
              <w:jc w:val="both"/>
              <w:rPr>
                <w:rFonts w:asciiTheme="minorHAnsi" w:hAnsiTheme="minorHAnsi" w:cstheme="minorHAnsi"/>
                <w:color w:val="000000" w:themeColor="text1"/>
              </w:rPr>
            </w:pPr>
            <w:r w:rsidRPr="00EF6F38">
              <w:rPr>
                <w:rFonts w:asciiTheme="minorHAnsi" w:hAnsiTheme="minorHAnsi" w:cstheme="minorHAnsi"/>
                <w:color w:val="000000" w:themeColor="text1"/>
              </w:rPr>
              <w:t>Olecko, Pisz</w:t>
            </w:r>
          </w:p>
        </w:tc>
        <w:tc>
          <w:tcPr>
            <w:tcW w:w="4842" w:type="dxa"/>
          </w:tcPr>
          <w:p w14:paraId="6848971C" w14:textId="77777777" w:rsidR="00093A8E" w:rsidRPr="00EF6F38" w:rsidRDefault="00093A8E" w:rsidP="00C30C40">
            <w:pPr>
              <w:spacing w:after="0"/>
              <w:jc w:val="both"/>
              <w:rPr>
                <w:rFonts w:asciiTheme="minorHAnsi" w:hAnsiTheme="minorHAnsi" w:cstheme="minorHAnsi"/>
                <w:color w:val="000000" w:themeColor="text1"/>
              </w:rPr>
            </w:pPr>
            <w:r w:rsidRPr="00EF6F38">
              <w:rPr>
                <w:rFonts w:asciiTheme="minorHAnsi" w:hAnsiTheme="minorHAnsi" w:cstheme="minorHAnsi"/>
                <w:color w:val="000000" w:themeColor="text1"/>
              </w:rPr>
              <w:t>Bartoszyce, Braniewo, Działdowo, Elbląg, Ełk, Giżycko, Iława, Kętrzyn, Lidzbark Warmiński,  Mrągowo, Ostróda, Szczytno</w:t>
            </w:r>
          </w:p>
        </w:tc>
      </w:tr>
    </w:tbl>
    <w:p w14:paraId="1D4BC40D" w14:textId="77777777" w:rsidR="00093A8E" w:rsidRPr="00EF6F38" w:rsidRDefault="00093A8E" w:rsidP="00C30C40">
      <w:pPr>
        <w:spacing w:after="0"/>
        <w:rPr>
          <w:rFonts w:asciiTheme="minorHAnsi" w:hAnsiTheme="minorHAnsi" w:cstheme="minorHAnsi"/>
        </w:rPr>
      </w:pPr>
    </w:p>
    <w:p w14:paraId="7EACF445" w14:textId="77777777" w:rsidR="00093A8E" w:rsidRPr="00EF6F38" w:rsidRDefault="00093A8E" w:rsidP="00093A8E">
      <w:pPr>
        <w:rPr>
          <w:rFonts w:asciiTheme="minorHAnsi" w:hAnsiTheme="minorHAnsi" w:cstheme="minorHAnsi"/>
          <w:b/>
          <w:bCs/>
        </w:rPr>
      </w:pPr>
      <w:r w:rsidRPr="00EF6F38">
        <w:rPr>
          <w:rFonts w:asciiTheme="minorHAnsi" w:hAnsiTheme="minorHAnsi" w:cstheme="minorHAnsi"/>
          <w:b/>
          <w:bCs/>
        </w:rPr>
        <w:lastRenderedPageBreak/>
        <w:t>Tabela 4: Wykaz obszarów Integratora Mazurskiego</w:t>
      </w:r>
    </w:p>
    <w:tbl>
      <w:tblPr>
        <w:tblStyle w:val="Tabela-Siatka"/>
        <w:tblW w:w="0" w:type="auto"/>
        <w:tblLook w:val="04A0" w:firstRow="1" w:lastRow="0" w:firstColumn="1" w:lastColumn="0" w:noHBand="0" w:noVBand="1"/>
      </w:tblPr>
      <w:tblGrid>
        <w:gridCol w:w="9062"/>
      </w:tblGrid>
      <w:tr w:rsidR="00093A8E" w:rsidRPr="00EF6F38" w14:paraId="1B687805" w14:textId="77777777" w:rsidTr="00D06F12">
        <w:tc>
          <w:tcPr>
            <w:tcW w:w="9062" w:type="dxa"/>
          </w:tcPr>
          <w:p w14:paraId="4C23FB32" w14:textId="77777777" w:rsidR="00093A8E" w:rsidRPr="00EF6F38" w:rsidRDefault="00093A8E" w:rsidP="00D06F12">
            <w:pPr>
              <w:autoSpaceDE w:val="0"/>
              <w:autoSpaceDN w:val="0"/>
              <w:adjustRightInd w:val="0"/>
              <w:rPr>
                <w:rFonts w:asciiTheme="minorHAnsi" w:hAnsiTheme="minorHAnsi" w:cstheme="minorHAnsi"/>
                <w:color w:val="000000"/>
              </w:rPr>
            </w:pPr>
            <w:r w:rsidRPr="00EF6F38">
              <w:rPr>
                <w:rFonts w:asciiTheme="minorHAnsi" w:hAnsiTheme="minorHAnsi" w:cstheme="minorHAnsi"/>
                <w:color w:val="000000"/>
              </w:rPr>
              <w:t xml:space="preserve">Strefa aktywności gospodarczej na terenach inwestycyjnych zlokalizowanych w pobliżu Portu Lotniczego Olsztyn-Mazury. Obszar ten obejmuje działki objęte miejscowym planem zagospodarowania przestrzennego uchwalonym uchwałą nr V/43/2019 Rady Gminy Szczytno z dnia 28 lutego 2019 r. położone w m. Szymany o następujących numerach geodezyjnych: 463/45, 463/46, 463/50, 463/56, 463/57, 463/60, 463/61, 463/64, 463/65, 463/66, 463/67, 463/68, 463/69. </w:t>
            </w:r>
          </w:p>
        </w:tc>
      </w:tr>
    </w:tbl>
    <w:p w14:paraId="11D11CE7" w14:textId="77777777" w:rsidR="00093A8E" w:rsidRPr="00EF6F38" w:rsidRDefault="00093A8E" w:rsidP="00093A8E">
      <w:pPr>
        <w:rPr>
          <w:rFonts w:asciiTheme="minorHAnsi" w:hAnsiTheme="minorHAnsi" w:cstheme="minorHAnsi"/>
          <w:b/>
          <w:bCs/>
        </w:rPr>
      </w:pPr>
    </w:p>
    <w:p w14:paraId="1E4E8F87" w14:textId="77777777" w:rsidR="00093A8E" w:rsidRPr="00EF6F38" w:rsidRDefault="00093A8E" w:rsidP="00093A8E">
      <w:pPr>
        <w:rPr>
          <w:rFonts w:asciiTheme="minorHAnsi" w:hAnsiTheme="minorHAnsi" w:cstheme="minorHAnsi"/>
          <w:color w:val="000000"/>
          <w:lang w:eastAsia="ja-JP"/>
        </w:rPr>
      </w:pPr>
      <w:r w:rsidRPr="00EF6F38">
        <w:rPr>
          <w:rFonts w:asciiTheme="minorHAnsi" w:hAnsiTheme="minorHAnsi" w:cstheme="minorHAnsi"/>
          <w:b/>
          <w:bCs/>
        </w:rPr>
        <w:t>Tabela 5. Wykaz przygranicznych powiatów województwa warmińsko-mazurskiego</w:t>
      </w:r>
    </w:p>
    <w:tbl>
      <w:tblPr>
        <w:tblStyle w:val="nowy1"/>
        <w:tblW w:w="0" w:type="auto"/>
        <w:jc w:val="center"/>
        <w:tblLook w:val="04A0" w:firstRow="1" w:lastRow="0" w:firstColumn="1" w:lastColumn="0" w:noHBand="0" w:noVBand="1"/>
      </w:tblPr>
      <w:tblGrid>
        <w:gridCol w:w="9062"/>
      </w:tblGrid>
      <w:tr w:rsidR="00093A8E" w:rsidRPr="00EF6F38" w14:paraId="6278DC5B" w14:textId="77777777" w:rsidTr="00D06F12">
        <w:trPr>
          <w:trHeight w:val="1376"/>
          <w:jc w:val="center"/>
        </w:trPr>
        <w:tc>
          <w:tcPr>
            <w:tcW w:w="9062" w:type="dxa"/>
          </w:tcPr>
          <w:p w14:paraId="46E4FE11"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braniewski</w:t>
            </w:r>
          </w:p>
          <w:p w14:paraId="59F3ABB7"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bartoszycki</w:t>
            </w:r>
          </w:p>
          <w:p w14:paraId="740F67A4"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kętrzyński</w:t>
            </w:r>
          </w:p>
          <w:p w14:paraId="0E07E875"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węgorzewski</w:t>
            </w:r>
          </w:p>
          <w:p w14:paraId="606D76F1"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xml:space="preserve">- gołdapski </w:t>
            </w:r>
          </w:p>
        </w:tc>
      </w:tr>
    </w:tbl>
    <w:p w14:paraId="51AA82F9" w14:textId="77777777" w:rsidR="00093A8E" w:rsidRPr="00EF6F38" w:rsidRDefault="00093A8E" w:rsidP="00093A8E">
      <w:pPr>
        <w:rPr>
          <w:rFonts w:asciiTheme="minorHAnsi" w:hAnsiTheme="minorHAnsi" w:cstheme="minorHAnsi"/>
        </w:rPr>
      </w:pPr>
    </w:p>
    <w:p w14:paraId="6D64A968" w14:textId="745ACBB3" w:rsidR="00093A8E" w:rsidRPr="00EF6F38" w:rsidRDefault="00093A8E" w:rsidP="00093A8E">
      <w:pPr>
        <w:jc w:val="both"/>
        <w:rPr>
          <w:rFonts w:asciiTheme="minorHAnsi" w:hAnsiTheme="minorHAnsi" w:cstheme="minorHAnsi"/>
          <w:i/>
        </w:rPr>
      </w:pPr>
      <w:r w:rsidRPr="00EF6F38">
        <w:rPr>
          <w:rFonts w:asciiTheme="minorHAnsi" w:hAnsiTheme="minorHAnsi" w:cstheme="minorHAnsi"/>
          <w:i/>
        </w:rPr>
        <w:t xml:space="preserve">Spełnienie warunku następuje w oparciu o dokumentację pożyczkową.  </w:t>
      </w:r>
    </w:p>
    <w:p w14:paraId="49C3FEA8" w14:textId="77777777" w:rsidR="00093A8E" w:rsidRPr="00EF6F38" w:rsidRDefault="00093A8E" w:rsidP="00093A8E">
      <w:pPr>
        <w:pStyle w:val="Akapitzlist"/>
        <w:numPr>
          <w:ilvl w:val="0"/>
          <w:numId w:val="19"/>
        </w:numPr>
        <w:rPr>
          <w:rFonts w:asciiTheme="minorHAnsi" w:hAnsiTheme="minorHAnsi" w:cstheme="minorHAnsi"/>
          <w:b/>
          <w:bCs/>
        </w:rPr>
      </w:pPr>
      <w:r w:rsidRPr="00EF6F38">
        <w:rPr>
          <w:rFonts w:asciiTheme="minorHAnsi" w:hAnsiTheme="minorHAnsi" w:cstheme="minorHAnsi"/>
          <w:b/>
          <w:bCs/>
        </w:rPr>
        <w:t>Warunek nr 5</w:t>
      </w:r>
    </w:p>
    <w:p w14:paraId="7F0D40E1" w14:textId="77777777" w:rsidR="00093A8E" w:rsidRPr="00EF6F38" w:rsidRDefault="00093A8E" w:rsidP="00093A8E">
      <w:pPr>
        <w:rPr>
          <w:rFonts w:asciiTheme="minorHAnsi" w:hAnsiTheme="minorHAnsi" w:cstheme="minorHAnsi"/>
          <w:b/>
        </w:rPr>
      </w:pPr>
      <w:r w:rsidRPr="00EF6F38">
        <w:rPr>
          <w:rFonts w:asciiTheme="minorHAnsi" w:hAnsiTheme="minorHAnsi" w:cstheme="minorHAnsi"/>
          <w:b/>
        </w:rPr>
        <w:t>Inwestycje wykazujące wpływ na rozwój inteligentnych specjalizacji regionalnych.</w:t>
      </w:r>
    </w:p>
    <w:p w14:paraId="3A7EED60" w14:textId="77777777" w:rsidR="00093A8E" w:rsidRPr="00EF6F38" w:rsidRDefault="00093A8E" w:rsidP="00093A8E">
      <w:pPr>
        <w:rPr>
          <w:rFonts w:asciiTheme="minorHAnsi" w:hAnsiTheme="minorHAnsi" w:cstheme="minorHAnsi"/>
          <w:b/>
        </w:rPr>
      </w:pPr>
      <w:r w:rsidRPr="00EF6F38">
        <w:rPr>
          <w:rFonts w:asciiTheme="minorHAnsi" w:hAnsiTheme="minorHAnsi" w:cstheme="minorHAnsi"/>
          <w:b/>
        </w:rPr>
        <w:t>Tabela nr 6</w:t>
      </w:r>
    </w:p>
    <w:tbl>
      <w:tblPr>
        <w:tblStyle w:val="nowy1"/>
        <w:tblW w:w="0" w:type="auto"/>
        <w:jc w:val="center"/>
        <w:tblLook w:val="04A0" w:firstRow="1" w:lastRow="0" w:firstColumn="1" w:lastColumn="0" w:noHBand="0" w:noVBand="1"/>
      </w:tblPr>
      <w:tblGrid>
        <w:gridCol w:w="4197"/>
        <w:gridCol w:w="4865"/>
      </w:tblGrid>
      <w:tr w:rsidR="00093A8E" w:rsidRPr="00EF6F38" w14:paraId="759E9340" w14:textId="77777777" w:rsidTr="00D06F12">
        <w:trPr>
          <w:trHeight w:val="356"/>
          <w:jc w:val="center"/>
        </w:trPr>
        <w:tc>
          <w:tcPr>
            <w:tcW w:w="9062" w:type="dxa"/>
            <w:gridSpan w:val="2"/>
          </w:tcPr>
          <w:p w14:paraId="32655C9C" w14:textId="77777777" w:rsidR="00093A8E" w:rsidRPr="00EF6F38" w:rsidRDefault="00093A8E" w:rsidP="00D06F12">
            <w:pPr>
              <w:jc w:val="both"/>
              <w:rPr>
                <w:rFonts w:asciiTheme="minorHAnsi" w:hAnsiTheme="minorHAnsi" w:cstheme="minorHAnsi"/>
                <w:color w:val="000000" w:themeColor="text1"/>
              </w:rPr>
            </w:pPr>
            <w:r w:rsidRPr="00EF6F38">
              <w:rPr>
                <w:rFonts w:asciiTheme="minorHAnsi" w:hAnsiTheme="minorHAnsi" w:cstheme="minorHAnsi"/>
                <w:color w:val="000000" w:themeColor="text1"/>
              </w:rPr>
              <w:t>Wykaz inteligentnych specjalizacji Warmii i Mazur</w:t>
            </w:r>
          </w:p>
        </w:tc>
      </w:tr>
      <w:tr w:rsidR="00093A8E" w:rsidRPr="00EF6F38" w14:paraId="26BC2FEC" w14:textId="77777777" w:rsidTr="00D06F12">
        <w:trPr>
          <w:jc w:val="center"/>
        </w:trPr>
        <w:tc>
          <w:tcPr>
            <w:tcW w:w="4197" w:type="dxa"/>
            <w:tcBorders>
              <w:bottom w:val="single" w:sz="4" w:space="0" w:color="auto"/>
            </w:tcBorders>
          </w:tcPr>
          <w:p w14:paraId="5F84027F" w14:textId="77777777" w:rsidR="00093A8E" w:rsidRPr="00EF6F38" w:rsidRDefault="00093A8E" w:rsidP="00D06F12">
            <w:pPr>
              <w:autoSpaceDE w:val="0"/>
              <w:autoSpaceDN w:val="0"/>
              <w:adjustRightInd w:val="0"/>
              <w:rPr>
                <w:rFonts w:asciiTheme="minorHAnsi" w:hAnsiTheme="minorHAnsi" w:cstheme="minorHAnsi"/>
                <w:b/>
                <w:color w:val="000000" w:themeColor="text1"/>
                <w:lang w:eastAsia="ja-JP"/>
              </w:rPr>
            </w:pPr>
            <w:r w:rsidRPr="00EF6F38">
              <w:rPr>
                <w:rFonts w:asciiTheme="minorHAnsi" w:hAnsiTheme="minorHAnsi" w:cstheme="minorHAnsi"/>
                <w:b/>
                <w:color w:val="000000" w:themeColor="text1"/>
                <w:lang w:eastAsia="ja-JP"/>
              </w:rPr>
              <w:t>Drewno i meblarstwo;</w:t>
            </w:r>
          </w:p>
        </w:tc>
        <w:tc>
          <w:tcPr>
            <w:tcW w:w="4865" w:type="dxa"/>
            <w:tcBorders>
              <w:bottom w:val="single" w:sz="4" w:space="0" w:color="auto"/>
            </w:tcBorders>
          </w:tcPr>
          <w:p w14:paraId="6660B2E7" w14:textId="77777777" w:rsidR="00093A8E" w:rsidRPr="00EF6F38" w:rsidRDefault="00093A8E" w:rsidP="00D06F12">
            <w:pPr>
              <w:autoSpaceDE w:val="0"/>
              <w:autoSpaceDN w:val="0"/>
              <w:adjustRightInd w:val="0"/>
              <w:rPr>
                <w:rFonts w:asciiTheme="minorHAnsi" w:hAnsiTheme="minorHAnsi" w:cstheme="minorHAnsi"/>
                <w:b/>
                <w:color w:val="000000" w:themeColor="text1"/>
                <w:lang w:eastAsia="ja-JP"/>
              </w:rPr>
            </w:pPr>
            <w:r w:rsidRPr="00EF6F38">
              <w:rPr>
                <w:rFonts w:asciiTheme="minorHAnsi" w:hAnsiTheme="minorHAnsi" w:cstheme="minorHAnsi"/>
                <w:b/>
                <w:color w:val="000000" w:themeColor="text1"/>
                <w:lang w:eastAsia="ja-JP"/>
              </w:rPr>
              <w:t xml:space="preserve">Ekonomia wody; </w:t>
            </w:r>
          </w:p>
        </w:tc>
      </w:tr>
      <w:tr w:rsidR="00093A8E" w:rsidRPr="00EF6F38" w14:paraId="239F6CCC" w14:textId="77777777" w:rsidTr="00D06F12">
        <w:trPr>
          <w:trHeight w:val="2253"/>
          <w:jc w:val="center"/>
        </w:trPr>
        <w:tc>
          <w:tcPr>
            <w:tcW w:w="4197" w:type="dxa"/>
          </w:tcPr>
          <w:p w14:paraId="1C8728B5"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przetwórstwo i sprzedaż drewna</w:t>
            </w:r>
          </w:p>
          <w:p w14:paraId="08317589"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mebli</w:t>
            </w:r>
          </w:p>
          <w:p w14:paraId="6C76AAB6"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xml:space="preserve">- sprzedaż produktów </w:t>
            </w:r>
            <w:proofErr w:type="spellStart"/>
            <w:r w:rsidRPr="00EF6F38">
              <w:rPr>
                <w:rFonts w:asciiTheme="minorHAnsi" w:hAnsiTheme="minorHAnsi" w:cstheme="minorHAnsi"/>
                <w:color w:val="000000" w:themeColor="text1"/>
                <w:lang w:eastAsia="ja-JP"/>
              </w:rPr>
              <w:t>drzewno</w:t>
            </w:r>
            <w:proofErr w:type="spellEnd"/>
            <w:r w:rsidRPr="00EF6F38">
              <w:rPr>
                <w:rFonts w:asciiTheme="minorHAnsi" w:hAnsiTheme="minorHAnsi" w:cstheme="minorHAnsi"/>
                <w:color w:val="000000" w:themeColor="text1"/>
                <w:lang w:eastAsia="ja-JP"/>
              </w:rPr>
              <w:t>-meblarskich</w:t>
            </w:r>
          </w:p>
          <w:p w14:paraId="1F7FECD3"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usługi projektowe</w:t>
            </w:r>
          </w:p>
          <w:p w14:paraId="09AD12ED"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naprawa i konserwacja</w:t>
            </w:r>
          </w:p>
          <w:p w14:paraId="4FBBD162"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innych wyrobów stolarskich</w:t>
            </w:r>
          </w:p>
          <w:p w14:paraId="735C7AC9"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nauka i IOB</w:t>
            </w:r>
          </w:p>
        </w:tc>
        <w:tc>
          <w:tcPr>
            <w:tcW w:w="4865" w:type="dxa"/>
          </w:tcPr>
          <w:p w14:paraId="3DDF5739"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maszyn</w:t>
            </w:r>
          </w:p>
          <w:p w14:paraId="3C21F641"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transport wodny</w:t>
            </w:r>
          </w:p>
          <w:p w14:paraId="7DF0FF90"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sporty wodne</w:t>
            </w:r>
          </w:p>
          <w:p w14:paraId="2189435B"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jachtów i łodzi</w:t>
            </w:r>
          </w:p>
          <w:p w14:paraId="29E9C045"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środowisko przyrodnicze i jego ochrona</w:t>
            </w:r>
          </w:p>
          <w:p w14:paraId="0781D21D"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przemysł rolno-spożywczy</w:t>
            </w:r>
          </w:p>
          <w:p w14:paraId="1A665B1C"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nauka i IOB</w:t>
            </w:r>
          </w:p>
          <w:p w14:paraId="63C1F9F7" w14:textId="77777777" w:rsidR="00093A8E" w:rsidRPr="00EF6F38" w:rsidRDefault="00093A8E" w:rsidP="005C0151">
            <w:pPr>
              <w:spacing w:after="0"/>
              <w:jc w:val="both"/>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zakwaterowanie i odnowa biologiczna</w:t>
            </w:r>
          </w:p>
        </w:tc>
      </w:tr>
      <w:tr w:rsidR="00093A8E" w:rsidRPr="00EF6F38" w14:paraId="69778F6B" w14:textId="77777777" w:rsidTr="00D06F12">
        <w:trPr>
          <w:trHeight w:val="274"/>
          <w:jc w:val="center"/>
        </w:trPr>
        <w:tc>
          <w:tcPr>
            <w:tcW w:w="4197" w:type="dxa"/>
            <w:vAlign w:val="center"/>
          </w:tcPr>
          <w:p w14:paraId="361D8F73" w14:textId="77777777" w:rsidR="00093A8E" w:rsidRPr="00EF6F38" w:rsidRDefault="00093A8E" w:rsidP="005C0151">
            <w:pPr>
              <w:autoSpaceDE w:val="0"/>
              <w:autoSpaceDN w:val="0"/>
              <w:adjustRightInd w:val="0"/>
              <w:spacing w:after="0"/>
              <w:rPr>
                <w:rFonts w:asciiTheme="minorHAnsi" w:hAnsiTheme="minorHAnsi" w:cstheme="minorHAnsi"/>
                <w:b/>
                <w:color w:val="000000" w:themeColor="text1"/>
                <w:lang w:eastAsia="ja-JP"/>
              </w:rPr>
            </w:pPr>
            <w:r w:rsidRPr="00EF6F38">
              <w:rPr>
                <w:rFonts w:asciiTheme="minorHAnsi" w:hAnsiTheme="minorHAnsi" w:cstheme="minorHAnsi"/>
                <w:b/>
                <w:color w:val="000000" w:themeColor="text1"/>
                <w:lang w:eastAsia="ja-JP"/>
              </w:rPr>
              <w:t>Zdrowe życie;</w:t>
            </w:r>
          </w:p>
        </w:tc>
        <w:tc>
          <w:tcPr>
            <w:tcW w:w="4865" w:type="dxa"/>
            <w:vAlign w:val="center"/>
          </w:tcPr>
          <w:p w14:paraId="2714F13E" w14:textId="77777777" w:rsidR="00093A8E" w:rsidRPr="00EF6F38" w:rsidRDefault="00093A8E" w:rsidP="005C0151">
            <w:pPr>
              <w:spacing w:after="0"/>
              <w:jc w:val="both"/>
              <w:rPr>
                <w:rFonts w:asciiTheme="minorHAnsi" w:hAnsiTheme="minorHAnsi" w:cstheme="minorHAnsi"/>
                <w:b/>
                <w:color w:val="000000" w:themeColor="text1"/>
              </w:rPr>
            </w:pPr>
            <w:r w:rsidRPr="00EF6F38">
              <w:rPr>
                <w:rFonts w:asciiTheme="minorHAnsi" w:hAnsiTheme="minorHAnsi" w:cstheme="minorHAnsi"/>
                <w:b/>
                <w:color w:val="000000" w:themeColor="text1"/>
              </w:rPr>
              <w:t>Żywność wysokiej jakości;</w:t>
            </w:r>
          </w:p>
        </w:tc>
      </w:tr>
      <w:tr w:rsidR="00093A8E" w:rsidRPr="00EF6F38" w14:paraId="5CC00C7D" w14:textId="77777777" w:rsidTr="00D06F12">
        <w:trPr>
          <w:jc w:val="center"/>
        </w:trPr>
        <w:tc>
          <w:tcPr>
            <w:tcW w:w="4197" w:type="dxa"/>
          </w:tcPr>
          <w:p w14:paraId="2AC5E90B"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producenci i dystrybutorzy sprzętu oraz produktów medycznych</w:t>
            </w:r>
          </w:p>
          <w:p w14:paraId="058A176D"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dostawcy usług medycznych i około medycznych</w:t>
            </w:r>
          </w:p>
          <w:p w14:paraId="1DB16E91"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sektor ICT wyspecjalizowany w zakresie ochrony zdrowia</w:t>
            </w:r>
          </w:p>
          <w:p w14:paraId="3AEB6C78"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dostawcy produktów i usług środowiskowych</w:t>
            </w:r>
          </w:p>
          <w:p w14:paraId="74AD0F7B"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lastRenderedPageBreak/>
              <w:t>- producenci i dostawcy wiedzy w zakresie zdrowia życia</w:t>
            </w:r>
          </w:p>
        </w:tc>
        <w:tc>
          <w:tcPr>
            <w:tcW w:w="4865" w:type="dxa"/>
          </w:tcPr>
          <w:p w14:paraId="2E37E45C"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lastRenderedPageBreak/>
              <w:t>- chów i hodowla ryb oraz zwierząt</w:t>
            </w:r>
          </w:p>
          <w:p w14:paraId="31406EDF"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żywności nieprzetworzonej</w:t>
            </w:r>
          </w:p>
          <w:p w14:paraId="0FEA2580"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xml:space="preserve">- przetwarzanie i unieszkodliwienie odpadów </w:t>
            </w:r>
            <w:proofErr w:type="spellStart"/>
            <w:r w:rsidRPr="00EF6F38">
              <w:rPr>
                <w:rFonts w:asciiTheme="minorHAnsi" w:hAnsiTheme="minorHAnsi" w:cstheme="minorHAnsi"/>
                <w:color w:val="000000" w:themeColor="text1"/>
                <w:lang w:eastAsia="ja-JP"/>
              </w:rPr>
              <w:t>porolniczych</w:t>
            </w:r>
            <w:proofErr w:type="spellEnd"/>
          </w:p>
          <w:p w14:paraId="24AD53BA"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i usługi na rzecz hodowli zwierząt</w:t>
            </w:r>
          </w:p>
          <w:p w14:paraId="2871D133"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przetwórstwo spożywcze</w:t>
            </w:r>
          </w:p>
          <w:p w14:paraId="31736812" w14:textId="77777777" w:rsidR="00093A8E" w:rsidRPr="00EF6F38" w:rsidRDefault="00093A8E" w:rsidP="005C0151">
            <w:pPr>
              <w:autoSpaceDE w:val="0"/>
              <w:autoSpaceDN w:val="0"/>
              <w:adjustRightInd w:val="0"/>
              <w:spacing w:after="0"/>
              <w:rPr>
                <w:rFonts w:asciiTheme="minorHAnsi" w:hAnsiTheme="minorHAnsi" w:cstheme="minorHAnsi"/>
                <w:color w:val="000000" w:themeColor="text1"/>
                <w:lang w:eastAsia="ja-JP"/>
              </w:rPr>
            </w:pPr>
            <w:r w:rsidRPr="00EF6F38">
              <w:rPr>
                <w:rFonts w:asciiTheme="minorHAnsi" w:hAnsiTheme="minorHAnsi" w:cstheme="minorHAnsi"/>
                <w:color w:val="000000" w:themeColor="text1"/>
                <w:lang w:eastAsia="ja-JP"/>
              </w:rPr>
              <w:t>- produkcja maszyn dla rolnictwa</w:t>
            </w:r>
          </w:p>
          <w:p w14:paraId="336C4C83" w14:textId="77777777" w:rsidR="00093A8E" w:rsidRPr="00EF6F38" w:rsidRDefault="00093A8E" w:rsidP="005C0151">
            <w:pPr>
              <w:spacing w:after="0"/>
              <w:jc w:val="both"/>
              <w:rPr>
                <w:rFonts w:asciiTheme="minorHAnsi" w:hAnsiTheme="minorHAnsi" w:cstheme="minorHAnsi"/>
                <w:color w:val="000000" w:themeColor="text1"/>
              </w:rPr>
            </w:pPr>
            <w:r w:rsidRPr="00EF6F38">
              <w:rPr>
                <w:rFonts w:asciiTheme="minorHAnsi" w:hAnsiTheme="minorHAnsi" w:cstheme="minorHAnsi"/>
                <w:color w:val="000000" w:themeColor="text1"/>
                <w:lang w:eastAsia="ja-JP"/>
              </w:rPr>
              <w:t>- nauka i IOB</w:t>
            </w:r>
          </w:p>
        </w:tc>
      </w:tr>
    </w:tbl>
    <w:p w14:paraId="1688D1CA" w14:textId="77777777" w:rsidR="005C0151" w:rsidRPr="00EF6F38" w:rsidRDefault="005C0151" w:rsidP="00093A8E">
      <w:pPr>
        <w:spacing w:after="120" w:line="23" w:lineRule="atLeast"/>
        <w:jc w:val="both"/>
        <w:rPr>
          <w:rFonts w:asciiTheme="minorHAnsi" w:hAnsiTheme="minorHAnsi" w:cstheme="minorHAnsi"/>
          <w:iCs/>
        </w:rPr>
      </w:pPr>
    </w:p>
    <w:p w14:paraId="36DCC435" w14:textId="69B66D37" w:rsidR="00093A8E" w:rsidRPr="00EF6F38" w:rsidRDefault="00093A8E" w:rsidP="00093A8E">
      <w:pPr>
        <w:spacing w:after="120" w:line="23" w:lineRule="atLeast"/>
        <w:jc w:val="both"/>
        <w:rPr>
          <w:rFonts w:asciiTheme="minorHAnsi" w:hAnsiTheme="minorHAnsi" w:cstheme="minorHAnsi"/>
          <w:iCs/>
        </w:rPr>
      </w:pPr>
      <w:r w:rsidRPr="00EF6F38">
        <w:rPr>
          <w:rFonts w:asciiTheme="minorHAnsi" w:hAnsiTheme="minorHAnsi" w:cstheme="minorHAnsi"/>
          <w:iCs/>
        </w:rPr>
        <w:t>Poprzez inwestycje w ramach powyższych inteligentnych specjalizacji należy rozumieć takie, które muszą spełnić co najmniej dwa z poniższych warunków łącznie:</w:t>
      </w:r>
    </w:p>
    <w:p w14:paraId="4E5FE325" w14:textId="77777777" w:rsidR="00093A8E" w:rsidRPr="00EF6F38" w:rsidRDefault="00093A8E" w:rsidP="00E70B9E">
      <w:pPr>
        <w:pStyle w:val="Akapitzlist"/>
        <w:numPr>
          <w:ilvl w:val="0"/>
          <w:numId w:val="20"/>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 xml:space="preserve">wpływ na eliminowanie negatywnego wpływu zagrożeń i/lub wpływ na wykorzystanie szans zdiagnozowanych w analizie SWOT  dla danej inteligentnej specjalizacji, </w:t>
      </w:r>
      <w:proofErr w:type="spellStart"/>
      <w:r w:rsidRPr="00EF6F38">
        <w:rPr>
          <w:rFonts w:asciiTheme="minorHAnsi" w:hAnsiTheme="minorHAnsi" w:cstheme="minorHAnsi"/>
          <w:iCs/>
          <w:color w:val="000000" w:themeColor="text1"/>
        </w:rPr>
        <w:t>tj</w:t>
      </w:r>
      <w:proofErr w:type="spellEnd"/>
      <w:r w:rsidRPr="00EF6F38">
        <w:rPr>
          <w:rFonts w:asciiTheme="minorHAnsi" w:hAnsiTheme="minorHAnsi" w:cstheme="minorHAnsi"/>
          <w:iCs/>
          <w:color w:val="000000" w:themeColor="text1"/>
        </w:rPr>
        <w:t xml:space="preserve"> w obszarze:</w:t>
      </w:r>
    </w:p>
    <w:p w14:paraId="4F99DDA1" w14:textId="77777777" w:rsidR="00093A8E" w:rsidRPr="00EF6F38" w:rsidRDefault="00093A8E" w:rsidP="00E70B9E">
      <w:pPr>
        <w:pStyle w:val="Akapitzlist"/>
        <w:numPr>
          <w:ilvl w:val="0"/>
          <w:numId w:val="22"/>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 xml:space="preserve">drewno i meblarstwo  - link do analizy SWOT </w:t>
      </w:r>
      <w:bookmarkStart w:id="4" w:name="_Hlk168306428"/>
      <w:r w:rsidRPr="00EF6F38">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Drewno i meblarstwo – raport końcowy;  Rozdział 6  ANALIZA SWOT DLA INTELIGENTNEJ SPECJALIZACJI „DREWNO I MEBLARSTWO”</w:t>
      </w:r>
      <w:r w:rsidRPr="00EF6F38">
        <w:rPr>
          <w:rFonts w:asciiTheme="minorHAnsi" w:hAnsiTheme="minorHAnsi" w:cstheme="minorHAnsi"/>
          <w:iCs/>
          <w:color w:val="000000" w:themeColor="text1"/>
          <w:u w:val="single"/>
        </w:rPr>
        <w:t xml:space="preserve"> </w:t>
      </w:r>
      <w:r w:rsidRPr="00EF6F38">
        <w:rPr>
          <w:rFonts w:asciiTheme="minorHAnsi" w:hAnsiTheme="minorHAnsi" w:cstheme="minorHAnsi"/>
          <w:iCs/>
        </w:rPr>
        <w:t xml:space="preserve"> </w:t>
      </w:r>
      <w:r w:rsidRPr="00EF6F38">
        <w:rPr>
          <w:rFonts w:asciiTheme="minorHAnsi" w:hAnsiTheme="minorHAnsi" w:cstheme="minorHAnsi"/>
          <w:iCs/>
          <w:color w:val="000000" w:themeColor="text1"/>
        </w:rPr>
        <w:t>https://biznes.warmia.mazury.pl/wp-content/uploads/2019/11/DREWNO_I_MEBLARSTWO_RAPORT_KO%C5%83COWY.pdf</w:t>
      </w:r>
    </w:p>
    <w:p w14:paraId="5CD84580" w14:textId="77777777" w:rsidR="00093A8E" w:rsidRPr="00EF6F38" w:rsidRDefault="00093A8E" w:rsidP="00E70B9E">
      <w:pPr>
        <w:pStyle w:val="Akapitzlist"/>
        <w:numPr>
          <w:ilvl w:val="0"/>
          <w:numId w:val="22"/>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ekonomia wody -–</w:t>
      </w:r>
      <w:r w:rsidRPr="00EF6F38">
        <w:rPr>
          <w:rFonts w:asciiTheme="minorHAnsi" w:hAnsiTheme="minorHAnsi" w:cstheme="minorHAnsi"/>
          <w:iCs/>
        </w:rPr>
        <w:t xml:space="preserve"> </w:t>
      </w:r>
      <w:r w:rsidRPr="00EF6F38">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Ekonomia wody – raport końcowy; Rozdział 6 ANALIZA SWOT DLA SPECJALIZACJI EKONOMIA WODY ___</w:t>
      </w:r>
      <w:r w:rsidRPr="00EF6F38">
        <w:rPr>
          <w:rFonts w:asciiTheme="minorHAnsi" w:hAnsiTheme="minorHAnsi" w:cstheme="minorHAnsi"/>
          <w:iCs/>
        </w:rPr>
        <w:t>https://biznes.warmia.mazury.pl/wp-content/uploads/2019/11/EKONOMIA_WODY_RAPORT_KO%C5%83COWY.pdf</w:t>
      </w:r>
    </w:p>
    <w:p w14:paraId="6FEF1B6F" w14:textId="77777777" w:rsidR="00093A8E" w:rsidRPr="00EF6F38" w:rsidRDefault="00093A8E" w:rsidP="00E70B9E">
      <w:pPr>
        <w:pStyle w:val="Akapitzlist"/>
        <w:numPr>
          <w:ilvl w:val="0"/>
          <w:numId w:val="22"/>
        </w:numPr>
        <w:jc w:val="both"/>
        <w:rPr>
          <w:rFonts w:asciiTheme="minorHAnsi" w:hAnsiTheme="minorHAnsi" w:cstheme="minorHAnsi"/>
          <w:iCs/>
        </w:rPr>
      </w:pPr>
      <w:r w:rsidRPr="00EF6F38">
        <w:rPr>
          <w:rFonts w:asciiTheme="minorHAnsi" w:hAnsiTheme="minorHAnsi" w:cstheme="minorHAnsi"/>
          <w:iCs/>
          <w:color w:val="000000" w:themeColor="text1"/>
        </w:rPr>
        <w:t>zdrowe życie https://bu.warmia.mazury.pl:7123/sharing/JltNKsBOM</w:t>
      </w:r>
    </w:p>
    <w:p w14:paraId="42FC6CA8" w14:textId="77777777" w:rsidR="00093A8E" w:rsidRPr="00EF6F38" w:rsidRDefault="00093A8E" w:rsidP="00E70B9E">
      <w:pPr>
        <w:pStyle w:val="Akapitzlist"/>
        <w:numPr>
          <w:ilvl w:val="0"/>
          <w:numId w:val="22"/>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żywność  wysokiej jakości–</w:t>
      </w:r>
      <w:r w:rsidRPr="00EF6F38">
        <w:rPr>
          <w:rFonts w:asciiTheme="minorHAnsi" w:hAnsiTheme="minorHAnsi" w:cstheme="minorHAnsi"/>
          <w:iCs/>
        </w:rPr>
        <w:t xml:space="preserve"> </w:t>
      </w:r>
      <w:r w:rsidRPr="00EF6F38">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_https://biznes.warmia.mazury.pl/wp-content/uploads/2019/11/%C5%BBYWNO%C5%9A%C4%86_WYSOKIEJ_JAKO%C5%9ACI_RAPORT_KO%C5%83COWY.pdf__</w:t>
      </w:r>
    </w:p>
    <w:bookmarkEnd w:id="4"/>
    <w:p w14:paraId="68E14245" w14:textId="77777777" w:rsidR="00093A8E" w:rsidRPr="00EF6F38" w:rsidRDefault="00093A8E" w:rsidP="00E70B9E">
      <w:pPr>
        <w:pStyle w:val="Akapitzlist"/>
        <w:numPr>
          <w:ilvl w:val="0"/>
          <w:numId w:val="20"/>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 xml:space="preserve">wpływ na wzmocnienie silnych stron i/lub eliminację słabych stron zdiagnozowanych w analizie SWOT dla danej inteligentnej specjalizacji lub dyfuzję wyników projektu na więcej niż jeden podmiot działający w obszarze danej inteligentnej specjalizacji, </w:t>
      </w:r>
      <w:proofErr w:type="spellStart"/>
      <w:r w:rsidRPr="00EF6F38">
        <w:rPr>
          <w:rFonts w:asciiTheme="minorHAnsi" w:hAnsiTheme="minorHAnsi" w:cstheme="minorHAnsi"/>
          <w:iCs/>
          <w:color w:val="000000" w:themeColor="text1"/>
        </w:rPr>
        <w:t>tj</w:t>
      </w:r>
      <w:proofErr w:type="spellEnd"/>
      <w:r w:rsidRPr="00EF6F38">
        <w:rPr>
          <w:rFonts w:asciiTheme="minorHAnsi" w:hAnsiTheme="minorHAnsi" w:cstheme="minorHAnsi"/>
          <w:iCs/>
          <w:color w:val="000000" w:themeColor="text1"/>
        </w:rPr>
        <w:t>: w obszarze</w:t>
      </w:r>
    </w:p>
    <w:p w14:paraId="24B837B8" w14:textId="77777777" w:rsidR="00093A8E" w:rsidRPr="00EF6F38" w:rsidRDefault="00093A8E" w:rsidP="00E70B9E">
      <w:pPr>
        <w:pStyle w:val="Akapitzlist"/>
        <w:numPr>
          <w:ilvl w:val="0"/>
          <w:numId w:val="21"/>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drewno i meblarstwo  - link do analizy SWOT –Badanie potencjału innowacyjnego i rozwojowego przedsiębiorstw funkcjonujących w obszarze inteligentnych specjalizacji województwa warmińsko-mazurskiego Drewno i meblarstwo – raport końcowy;  Rozdział 6  ANALIZA SWOT DLA INTELIGENTNEJ SPECJALIZACJI „DREWNO I MEBLARSTWO” _–https://biznes.warmia.mazury.pl/wp-content/uploads/2019/11/DREWNO_I_MEBLARSTWO_RAPORT_KO%C5%83COWY.pdf</w:t>
      </w:r>
    </w:p>
    <w:p w14:paraId="4A3E61D7" w14:textId="77777777" w:rsidR="00093A8E" w:rsidRPr="00EF6F38" w:rsidRDefault="00093A8E" w:rsidP="00E70B9E">
      <w:pPr>
        <w:pStyle w:val="Akapitzlist"/>
        <w:numPr>
          <w:ilvl w:val="0"/>
          <w:numId w:val="21"/>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ekonomia wody - link do analizy SWOT – Badanie potencjału innowacyjnego i rozwojowego przedsiębiorstw funkcjonujących w obszarze inteligentnych specjalizacji województwa warmińsko-mazurskiego Ekonomia wody – raport końcowy; Rozdział 6 ANALIZA SWOT DLA SPECJALIZACJI EKONOMIA WODY ___</w:t>
      </w:r>
      <w:r w:rsidRPr="00EF6F38">
        <w:rPr>
          <w:rFonts w:asciiTheme="minorHAnsi" w:hAnsiTheme="minorHAnsi" w:cstheme="minorHAnsi"/>
          <w:iCs/>
        </w:rPr>
        <w:t xml:space="preserve"> https://biznes.warmia.mazury.pl/wp-content/uploads/2019/11/EKONOMIA_WODY_RAPORT_KO%C5%83COWY.pdf</w:t>
      </w:r>
    </w:p>
    <w:p w14:paraId="563C4055" w14:textId="77777777" w:rsidR="00093A8E" w:rsidRPr="00EF6F38" w:rsidRDefault="00093A8E" w:rsidP="00E70B9E">
      <w:pPr>
        <w:pStyle w:val="Akapitzlist"/>
        <w:numPr>
          <w:ilvl w:val="0"/>
          <w:numId w:val="21"/>
        </w:numPr>
        <w:jc w:val="both"/>
        <w:rPr>
          <w:rFonts w:asciiTheme="minorHAnsi" w:hAnsiTheme="minorHAnsi" w:cstheme="minorHAnsi"/>
          <w:iCs/>
        </w:rPr>
      </w:pPr>
      <w:r w:rsidRPr="00EF6F38">
        <w:rPr>
          <w:rFonts w:asciiTheme="minorHAnsi" w:hAnsiTheme="minorHAnsi" w:cstheme="minorHAnsi"/>
          <w:iCs/>
          <w:color w:val="000000" w:themeColor="text1"/>
        </w:rPr>
        <w:t>zdrowe życie https://bu.warmia.mazury.pl:7123/sharing/JltNKsBOM</w:t>
      </w:r>
    </w:p>
    <w:p w14:paraId="32628A34" w14:textId="08A02B04" w:rsidR="00093A8E" w:rsidRPr="00EF6F38" w:rsidRDefault="00093A8E" w:rsidP="00E70B9E">
      <w:pPr>
        <w:pStyle w:val="Akapitzlist"/>
        <w:numPr>
          <w:ilvl w:val="0"/>
          <w:numId w:val="21"/>
        </w:numPr>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żywność wysokiej jakości -–</w:t>
      </w:r>
      <w:r w:rsidRPr="00EF6F38">
        <w:rPr>
          <w:rFonts w:asciiTheme="minorHAnsi" w:hAnsiTheme="minorHAnsi" w:cstheme="minorHAnsi"/>
          <w:iCs/>
        </w:rPr>
        <w:t xml:space="preserve"> </w:t>
      </w:r>
      <w:r w:rsidRPr="00EF6F38">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___https://biznes.warmia.mazury.pl/wp-</w:t>
      </w:r>
      <w:r w:rsidRPr="00EF6F38">
        <w:rPr>
          <w:rFonts w:asciiTheme="minorHAnsi" w:hAnsiTheme="minorHAnsi" w:cstheme="minorHAnsi"/>
          <w:iCs/>
          <w:color w:val="000000" w:themeColor="text1"/>
        </w:rPr>
        <w:lastRenderedPageBreak/>
        <w:t>content/uploads/2019/11/%C5%BBYWNO%C5%9A%C4%86_WYSOKIEJ_JAKO%C5%9ACI_RAPORT_KO%C5%83COWY.pdf</w:t>
      </w:r>
    </w:p>
    <w:p w14:paraId="46101350" w14:textId="4F30F9A3" w:rsidR="00093A8E" w:rsidRPr="00EF6F38" w:rsidRDefault="00093A8E" w:rsidP="00E70B9E">
      <w:pPr>
        <w:pStyle w:val="Akapitzlist"/>
        <w:numPr>
          <w:ilvl w:val="0"/>
          <w:numId w:val="20"/>
        </w:numPr>
        <w:spacing w:after="0"/>
        <w:jc w:val="both"/>
        <w:rPr>
          <w:rFonts w:asciiTheme="minorHAnsi" w:hAnsiTheme="minorHAnsi" w:cstheme="minorHAnsi"/>
          <w:iCs/>
          <w:color w:val="000000" w:themeColor="text1"/>
        </w:rPr>
      </w:pPr>
      <w:bookmarkStart w:id="5" w:name="_Hlk168313336"/>
      <w:r w:rsidRPr="00EF6F38">
        <w:rPr>
          <w:rFonts w:asciiTheme="minorHAnsi" w:hAnsiTheme="minorHAnsi" w:cstheme="minorHAnsi"/>
          <w:iCs/>
          <w:color w:val="000000" w:themeColor="text1"/>
        </w:rPr>
        <w:t>stworzenie w wyniku inwestycji możliwości eksportowych w ramach danej specjalizacji i/lub generowanie potencjalnego wzrostu współpracy w europejskich łańcuchach wartości</w:t>
      </w:r>
      <w:bookmarkEnd w:id="5"/>
      <w:r w:rsidRPr="00EF6F38">
        <w:rPr>
          <w:rFonts w:asciiTheme="minorHAnsi" w:hAnsiTheme="minorHAnsi" w:cstheme="minorHAnsi"/>
          <w:iCs/>
          <w:color w:val="000000" w:themeColor="text1"/>
        </w:rPr>
        <w:t>,</w:t>
      </w:r>
    </w:p>
    <w:p w14:paraId="71C1CC49" w14:textId="77777777" w:rsidR="00093A8E" w:rsidRPr="00EF6F38" w:rsidRDefault="00093A8E" w:rsidP="00E70B9E">
      <w:pPr>
        <w:pStyle w:val="Akapitzlist"/>
        <w:numPr>
          <w:ilvl w:val="0"/>
          <w:numId w:val="20"/>
        </w:numPr>
        <w:spacing w:after="0"/>
        <w:jc w:val="both"/>
        <w:rPr>
          <w:rFonts w:asciiTheme="minorHAnsi" w:hAnsiTheme="minorHAnsi" w:cstheme="minorHAnsi"/>
          <w:iCs/>
          <w:color w:val="000000" w:themeColor="text1"/>
        </w:rPr>
      </w:pPr>
      <w:r w:rsidRPr="00EF6F38">
        <w:rPr>
          <w:rFonts w:asciiTheme="minorHAnsi" w:hAnsiTheme="minorHAnsi" w:cstheme="minorHAnsi"/>
          <w:iCs/>
          <w:color w:val="000000" w:themeColor="text1"/>
        </w:rPr>
        <w:t xml:space="preserve">wpływ na kreowanie współpracy pomiędzy środowiskiem naukowym, biznesowym, otoczeniem biznesu, administracją w obrębie co najmniej jednej specjalizacji w wyniku realizacji projektu.  </w:t>
      </w:r>
    </w:p>
    <w:p w14:paraId="32C6FFC3" w14:textId="77777777" w:rsidR="00093A8E" w:rsidRPr="00EF6F38" w:rsidRDefault="00093A8E" w:rsidP="00093A8E">
      <w:pPr>
        <w:spacing w:after="0"/>
        <w:rPr>
          <w:rFonts w:asciiTheme="minorHAnsi" w:hAnsiTheme="minorHAnsi" w:cstheme="minorHAnsi"/>
          <w:iCs/>
        </w:rPr>
      </w:pPr>
    </w:p>
    <w:p w14:paraId="50B1C6EA" w14:textId="3CD59B5F" w:rsidR="00093A8E" w:rsidRPr="00C30C40" w:rsidRDefault="00093A8E" w:rsidP="005C0151">
      <w:pPr>
        <w:spacing w:after="0"/>
        <w:rPr>
          <w:rFonts w:asciiTheme="minorHAnsi" w:hAnsiTheme="minorHAnsi" w:cstheme="minorHAnsi"/>
          <w:i/>
          <w:color w:val="000000" w:themeColor="text1"/>
        </w:rPr>
      </w:pPr>
      <w:r w:rsidRPr="00EF6F38">
        <w:rPr>
          <w:rFonts w:asciiTheme="minorHAnsi" w:hAnsiTheme="minorHAnsi" w:cstheme="minorHAnsi"/>
          <w:i/>
        </w:rPr>
        <w:t>Spełnienie warunku następuje w oparciu o dokumentację pożyczkową.</w:t>
      </w:r>
      <w:r w:rsidRPr="00C30C40">
        <w:rPr>
          <w:rFonts w:asciiTheme="minorHAnsi" w:hAnsiTheme="minorHAnsi" w:cstheme="minorHAnsi"/>
          <w:i/>
        </w:rPr>
        <w:t xml:space="preserve"> </w:t>
      </w:r>
    </w:p>
    <w:sectPr w:rsidR="00093A8E" w:rsidRPr="00C30C40" w:rsidSect="004F2FFA">
      <w:headerReference w:type="default" r:id="rId10"/>
      <w:footerReference w:type="default" r:id="rId11"/>
      <w:headerReference w:type="first" r:id="rId12"/>
      <w:footerReference w:type="first" r:id="rId13"/>
      <w:pgSz w:w="11906" w:h="16838"/>
      <w:pgMar w:top="720" w:right="991" w:bottom="720" w:left="1418"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6A90" w14:textId="77777777" w:rsidR="00D34472" w:rsidRDefault="00D34472" w:rsidP="00BA3860">
      <w:pPr>
        <w:spacing w:after="0" w:line="240" w:lineRule="auto"/>
      </w:pPr>
      <w:r>
        <w:separator/>
      </w:r>
    </w:p>
  </w:endnote>
  <w:endnote w:type="continuationSeparator" w:id="0">
    <w:p w14:paraId="3922CF8D" w14:textId="77777777" w:rsidR="00D34472" w:rsidRDefault="00D34472" w:rsidP="00BA3860">
      <w:pPr>
        <w:spacing w:after="0" w:line="240" w:lineRule="auto"/>
      </w:pPr>
      <w:r>
        <w:continuationSeparator/>
      </w:r>
    </w:p>
  </w:endnote>
  <w:endnote w:type="continuationNotice" w:id="1">
    <w:p w14:paraId="0107B68B" w14:textId="77777777" w:rsidR="00D34472" w:rsidRDefault="00D3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D24B" w14:textId="77777777" w:rsidR="00697136" w:rsidRDefault="00697136" w:rsidP="0095547B">
    <w:pPr>
      <w:pStyle w:val="Stopka"/>
      <w:tabs>
        <w:tab w:val="clear" w:pos="4536"/>
        <w:tab w:val="clear" w:pos="9072"/>
        <w:tab w:val="left" w:pos="7230"/>
      </w:tabs>
      <w:jc w:val="center"/>
      <w:rPr>
        <w:noProof/>
        <w:sz w:val="20"/>
        <w:szCs w:val="20"/>
        <w:lang w:eastAsia="pl-PL"/>
      </w:rPr>
    </w:pPr>
  </w:p>
  <w:p w14:paraId="61127CE9" w14:textId="1C60E09D" w:rsidR="0095547B" w:rsidRDefault="0095547B" w:rsidP="0095547B">
    <w:pPr>
      <w:pStyle w:val="Stopka"/>
      <w:tabs>
        <w:tab w:val="clear" w:pos="4536"/>
        <w:tab w:val="clear" w:pos="9072"/>
        <w:tab w:val="left" w:pos="7230"/>
      </w:tabs>
      <w:jc w:val="center"/>
      <w:rPr>
        <w:sz w:val="24"/>
      </w:rPr>
    </w:pPr>
  </w:p>
  <w:p w14:paraId="0FFC7FFF" w14:textId="2CF8D50F"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863AC6">
      <w:rPr>
        <w:b/>
        <w:bCs/>
        <w:noProof/>
        <w:lang w:val="en-GB"/>
      </w:rPr>
      <w:t>11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863AC6">
      <w:rPr>
        <w:b/>
        <w:bCs/>
        <w:noProof/>
        <w:lang w:val="en-GB"/>
      </w:rPr>
      <w:t>11</w:t>
    </w:r>
    <w:r w:rsidRPr="0095547B">
      <w:rPr>
        <w:b/>
        <w:bCs/>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F6D34" w14:textId="0F95335F" w:rsidR="0095547B" w:rsidRDefault="00863AC6" w:rsidP="0095547B">
    <w:pPr>
      <w:pStyle w:val="Stopka"/>
      <w:tabs>
        <w:tab w:val="clear" w:pos="4536"/>
        <w:tab w:val="clear" w:pos="9072"/>
        <w:tab w:val="left" w:pos="7230"/>
      </w:tabs>
      <w:jc w:val="center"/>
      <w:rPr>
        <w:sz w:val="24"/>
      </w:rPr>
    </w:pPr>
    <w:r>
      <w:rPr>
        <w:noProof/>
        <w:lang w:eastAsia="pl-PL"/>
      </w:rPr>
      <w:drawing>
        <wp:inline distT="0" distB="0" distL="0" distR="0" wp14:anchorId="69E07D34" wp14:editId="64302ED9">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p w14:paraId="405938F7" w14:textId="53E055CA"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863AC6">
      <w:rPr>
        <w:b/>
        <w:bCs/>
        <w:noProof/>
        <w:lang w:val="en-GB"/>
      </w:rPr>
      <w:t>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863AC6">
      <w:rPr>
        <w:b/>
        <w:bCs/>
        <w:noProof/>
        <w:lang w:val="en-GB"/>
      </w:rPr>
      <w:t>11</w:t>
    </w:r>
    <w:r w:rsidRPr="0095547B">
      <w:rPr>
        <w:b/>
        <w:bCs/>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73094" w14:textId="77777777" w:rsidR="00D34472" w:rsidRDefault="00D34472" w:rsidP="00BA3860">
      <w:pPr>
        <w:spacing w:after="0" w:line="240" w:lineRule="auto"/>
      </w:pPr>
      <w:r>
        <w:separator/>
      </w:r>
    </w:p>
  </w:footnote>
  <w:footnote w:type="continuationSeparator" w:id="0">
    <w:p w14:paraId="703760C9" w14:textId="77777777" w:rsidR="00D34472" w:rsidRDefault="00D34472" w:rsidP="00BA3860">
      <w:pPr>
        <w:spacing w:after="0" w:line="240" w:lineRule="auto"/>
      </w:pPr>
      <w:r>
        <w:continuationSeparator/>
      </w:r>
    </w:p>
  </w:footnote>
  <w:footnote w:type="continuationNotice" w:id="1">
    <w:p w14:paraId="7DBF7EEF" w14:textId="77777777" w:rsidR="00D34472" w:rsidRDefault="00D34472">
      <w:pPr>
        <w:spacing w:after="0" w:line="240" w:lineRule="auto"/>
      </w:pPr>
    </w:p>
  </w:footnote>
  <w:footnote w:id="2">
    <w:p w14:paraId="1D1B4666" w14:textId="6D8952DA" w:rsidR="00D66DE8" w:rsidRPr="00F87F2A" w:rsidRDefault="00D66DE8">
      <w:pPr>
        <w:pStyle w:val="Tekstprzypisudolnego"/>
        <w:rPr>
          <w:sz w:val="18"/>
          <w:szCs w:val="18"/>
        </w:rPr>
      </w:pPr>
      <w:r w:rsidRPr="00F87F2A">
        <w:rPr>
          <w:rStyle w:val="Odwoanieprzypisudolnego"/>
          <w:sz w:val="18"/>
          <w:szCs w:val="18"/>
        </w:rPr>
        <w:footnoteRef/>
      </w:r>
      <w:r w:rsidRPr="00F87F2A">
        <w:rPr>
          <w:sz w:val="18"/>
          <w:szCs w:val="18"/>
        </w:rPr>
        <w:t xml:space="preserve"> Innowacja na poziomie kraju- innowacja stosowana w skali kraju nie dłużej niż 3 lata</w:t>
      </w:r>
    </w:p>
  </w:footnote>
  <w:footnote w:id="3">
    <w:p w14:paraId="6ECB65A5" w14:textId="7CFB0F26"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1 stanowiącą zał. 1 do </w:t>
      </w:r>
      <w:r w:rsidR="00BB09DA">
        <w:rPr>
          <w:sz w:val="18"/>
          <w:szCs w:val="18"/>
        </w:rPr>
        <w:t>Karty Produktu</w:t>
      </w:r>
    </w:p>
  </w:footnote>
  <w:footnote w:id="4">
    <w:p w14:paraId="1AC92309" w14:textId="671189DD"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2 stanowiącą zał. 1 do </w:t>
      </w:r>
      <w:r w:rsidR="00BB09DA">
        <w:rPr>
          <w:sz w:val="18"/>
          <w:szCs w:val="18"/>
        </w:rPr>
        <w:t>Karty Produktu</w:t>
      </w:r>
    </w:p>
  </w:footnote>
  <w:footnote w:id="5">
    <w:p w14:paraId="76799E1B" w14:textId="0D73AE6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3 stanowiącą zał. 1 do </w:t>
      </w:r>
      <w:r w:rsidR="00BB09DA">
        <w:rPr>
          <w:sz w:val="18"/>
          <w:szCs w:val="18"/>
        </w:rPr>
        <w:t>Karty Produktu</w:t>
      </w:r>
    </w:p>
  </w:footnote>
  <w:footnote w:id="6">
    <w:p w14:paraId="28BD99DD" w14:textId="71518F13"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4 stanowiącą zał. 1 do </w:t>
      </w:r>
      <w:r w:rsidR="00BB09DA">
        <w:rPr>
          <w:sz w:val="18"/>
          <w:szCs w:val="18"/>
        </w:rPr>
        <w:t>Karty Produktu</w:t>
      </w:r>
    </w:p>
  </w:footnote>
  <w:footnote w:id="7">
    <w:p w14:paraId="16D3D044" w14:textId="2ADE76F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5 stanowiącą zał. 1 do </w:t>
      </w:r>
      <w:r w:rsidR="00BB09DA">
        <w:rPr>
          <w:sz w:val="18"/>
          <w:szCs w:val="18"/>
        </w:rPr>
        <w:t>Karty Produktu</w:t>
      </w:r>
    </w:p>
  </w:footnote>
  <w:footnote w:id="8">
    <w:p w14:paraId="6788893A" w14:textId="58B5FE13" w:rsidR="00AD0EC6" w:rsidRPr="00B938A8" w:rsidRDefault="00AD0EC6">
      <w:pPr>
        <w:pStyle w:val="Tekstprzypisudolnego"/>
        <w:rPr>
          <w:sz w:val="18"/>
          <w:szCs w:val="18"/>
        </w:rPr>
      </w:pPr>
      <w:r w:rsidRPr="00B938A8">
        <w:rPr>
          <w:rStyle w:val="Odwoanieprzypisudolnego"/>
          <w:sz w:val="18"/>
          <w:szCs w:val="18"/>
        </w:rPr>
        <w:footnoteRef/>
      </w:r>
      <w:r w:rsidRPr="00B938A8">
        <w:rPr>
          <w:sz w:val="18"/>
          <w:szCs w:val="18"/>
        </w:rPr>
        <w:t xml:space="preserve"> Zgodnie z tabelą nr </w:t>
      </w:r>
      <w:r w:rsidR="00012F3E" w:rsidRPr="00B938A8">
        <w:rPr>
          <w:sz w:val="18"/>
          <w:szCs w:val="18"/>
        </w:rPr>
        <w:t>6</w:t>
      </w:r>
      <w:r w:rsidRPr="00B938A8">
        <w:rPr>
          <w:sz w:val="18"/>
          <w:szCs w:val="18"/>
        </w:rPr>
        <w:t xml:space="preserve"> stanowiącą zał. 1 do </w:t>
      </w:r>
      <w:r w:rsidR="00BB09DA">
        <w:rPr>
          <w:sz w:val="18"/>
          <w:szCs w:val="18"/>
        </w:rPr>
        <w:t>Karty Produktu</w:t>
      </w:r>
    </w:p>
  </w:footnote>
  <w:footnote w:id="9">
    <w:p w14:paraId="3B938970" w14:textId="367A874B" w:rsidR="001B2CA5" w:rsidRDefault="001B2CA5">
      <w:pPr>
        <w:pStyle w:val="Tekstprzypisudolnego"/>
      </w:pPr>
      <w:r>
        <w:rPr>
          <w:rStyle w:val="Odwoanieprzypisudolnego"/>
        </w:rPr>
        <w:footnoteRef/>
      </w:r>
      <w:r>
        <w:t xml:space="preserve"> </w:t>
      </w:r>
      <w:r w:rsidRPr="00C84A27">
        <w:rPr>
          <w:sz w:val="18"/>
          <w:szCs w:val="18"/>
        </w:rPr>
        <w:t>Wdrożenie nowego lub istotnie ulepszonego produktu (wyrobu lub usługi), nowego lub istotnie ulepszonego procesu, nowej metody marketingu lub nowej metody organizacji w zakresie praktyk biznesowych, organizacji miejsca pracy bądź relacji ze środowiskiem zewnętrznym</w:t>
      </w:r>
    </w:p>
  </w:footnote>
  <w:footnote w:id="10">
    <w:p w14:paraId="799B80C7" w14:textId="3CF2106F" w:rsidR="00F31826" w:rsidRPr="00FA5760" w:rsidRDefault="00F31826">
      <w:pPr>
        <w:pStyle w:val="Tekstprzypisudolnego"/>
        <w:rPr>
          <w:sz w:val="18"/>
          <w:szCs w:val="18"/>
        </w:rPr>
      </w:pPr>
      <w:r w:rsidRPr="00FA5760">
        <w:rPr>
          <w:rStyle w:val="Odwoanieprzypisudolnego"/>
          <w:sz w:val="18"/>
          <w:szCs w:val="18"/>
        </w:rPr>
        <w:footnoteRef/>
      </w:r>
      <w:r w:rsidRPr="00FA5760">
        <w:rPr>
          <w:sz w:val="18"/>
          <w:szCs w:val="18"/>
        </w:rPr>
        <w:t xml:space="preserve"> Z wyłączeniem usług polegających na wynajmie krótko i długo terminowym, leasingu, dzierżawie i </w:t>
      </w:r>
      <w:proofErr w:type="spellStart"/>
      <w:r w:rsidRPr="00FA5760">
        <w:rPr>
          <w:sz w:val="18"/>
          <w:szCs w:val="18"/>
        </w:rPr>
        <w:t>time</w:t>
      </w:r>
      <w:proofErr w:type="spellEnd"/>
      <w:r w:rsidRPr="00FA5760">
        <w:rPr>
          <w:sz w:val="18"/>
          <w:szCs w:val="18"/>
        </w:rPr>
        <w:t xml:space="preserve">- </w:t>
      </w:r>
      <w:proofErr w:type="spellStart"/>
      <w:r w:rsidRPr="00FA5760">
        <w:rPr>
          <w:sz w:val="18"/>
          <w:szCs w:val="18"/>
        </w:rPr>
        <w:t>sharing</w:t>
      </w:r>
      <w:proofErr w:type="spellEnd"/>
    </w:p>
  </w:footnote>
  <w:footnote w:id="11">
    <w:p w14:paraId="6D2B4514" w14:textId="77777777" w:rsidR="00450D6A" w:rsidRDefault="00450D6A" w:rsidP="00450D6A">
      <w:pPr>
        <w:pStyle w:val="Tekstprzypisudolnego"/>
      </w:pPr>
      <w:r>
        <w:rPr>
          <w:rStyle w:val="Odwoanieprzypisudolnego"/>
        </w:rPr>
        <w:footnoteRef/>
      </w:r>
      <w:r>
        <w:t xml:space="preserve"> </w:t>
      </w:r>
      <w:r w:rsidRPr="00730E6D">
        <w:t>Zgodnie z Art. 17 ust. 15 Dyrektywy Parlamentu Europejskiego i Rady (UE) 2024/1275 z dnia 24 kwietnia 2024 r. w sprawie charakterystyki energetycznej budynków (Dz. Urz. UE L z 8 maja 2024 r.)</w:t>
      </w:r>
    </w:p>
  </w:footnote>
  <w:footnote w:id="12">
    <w:p w14:paraId="19AD4D03" w14:textId="4DBDF3FE" w:rsidR="00F84179" w:rsidRPr="00AC7415" w:rsidRDefault="00F84179" w:rsidP="00F84179">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Komisji (UE) nr 2023/2831 w sprawie stosowania art. 107 i 108 Traktatu o funkcjonowaniu Unii Europejskiej do pomocy de </w:t>
      </w:r>
      <w:proofErr w:type="spellStart"/>
      <w:r w:rsidRPr="00AC7415">
        <w:rPr>
          <w:rFonts w:asciiTheme="minorHAnsi" w:hAnsiTheme="minorHAnsi" w:cstheme="minorHAnsi"/>
          <w:sz w:val="18"/>
          <w:szCs w:val="18"/>
        </w:rPr>
        <w:t>minimis</w:t>
      </w:r>
      <w:proofErr w:type="spellEnd"/>
      <w:r w:rsidRPr="00AC7415">
        <w:rPr>
          <w:rFonts w:asciiTheme="minorHAnsi" w:hAnsiTheme="minorHAnsi" w:cstheme="minorHAnsi"/>
          <w:sz w:val="18"/>
          <w:szCs w:val="18"/>
        </w:rPr>
        <w:t xml:space="preserve"> oraz Rozporządzeniu Ministra Funduszy i Polityki Regionalnej z dnia 17 kwietnia 2024 r. w sprawie udzielania pomocy de </w:t>
      </w:r>
      <w:proofErr w:type="spellStart"/>
      <w:r w:rsidRPr="00AC7415">
        <w:rPr>
          <w:rFonts w:asciiTheme="minorHAnsi" w:hAnsiTheme="minorHAnsi" w:cstheme="minorHAnsi"/>
          <w:sz w:val="18"/>
          <w:szCs w:val="18"/>
        </w:rPr>
        <w:t>minimis</w:t>
      </w:r>
      <w:proofErr w:type="spellEnd"/>
      <w:r w:rsidRPr="00AC7415">
        <w:rPr>
          <w:rFonts w:asciiTheme="minorHAnsi" w:hAnsiTheme="minorHAnsi" w:cstheme="minorHAnsi"/>
          <w:sz w:val="18"/>
          <w:szCs w:val="18"/>
        </w:rPr>
        <w:t xml:space="preserve"> w ramach regionalnych programów na lata 2021-2027</w:t>
      </w:r>
      <w:r w:rsidR="007D1498" w:rsidRPr="00AC7415">
        <w:rPr>
          <w:rFonts w:asciiTheme="minorHAnsi" w:hAnsiTheme="minorHAnsi" w:cstheme="minorHAnsi"/>
          <w:sz w:val="18"/>
          <w:szCs w:val="18"/>
        </w:rPr>
        <w:t>;</w:t>
      </w:r>
    </w:p>
  </w:footnote>
  <w:footnote w:id="13">
    <w:p w14:paraId="061F55A8" w14:textId="0C9DFDE6" w:rsidR="00F84179" w:rsidRPr="00AC7415" w:rsidRDefault="00F84179" w:rsidP="00AC7415">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w:t>
      </w:r>
      <w:proofErr w:type="spellStart"/>
      <w:r w:rsidRPr="00AC7415">
        <w:rPr>
          <w:rFonts w:asciiTheme="minorHAnsi" w:hAnsiTheme="minorHAnsi" w:cstheme="minorHAnsi"/>
          <w:sz w:val="18"/>
          <w:szCs w:val="18"/>
        </w:rPr>
        <w:t>Rozporządzeniu</w:t>
      </w:r>
      <w:proofErr w:type="spellEnd"/>
      <w:r w:rsidRPr="00AC7415">
        <w:rPr>
          <w:rFonts w:asciiTheme="minorHAnsi" w:hAnsiTheme="minorHAnsi" w:cstheme="minorHAnsi"/>
          <w:sz w:val="18"/>
          <w:szCs w:val="18"/>
        </w:rPr>
        <w:t xml:space="preserve"> Komisji (UE) nr 651/2014 z dnia 17 czerwca 2014 r. uznającym niektóre rodzaje pomocy za zgodne z rynkiem wewnętrznym w zastosowaniu art. 107 i 108 Traktatu oraz Rozporządzeniu Ministra Funduszy i Polityki Regionalnej z dnia 7 października 2022 r. w sprawie udzielania regionalnej pomocy inwestycyjnej w ramach celu polityki CP1 (iii) w zakresie wzmacniania trwałego wzrostu i konkurencyjności </w:t>
      </w:r>
      <w:proofErr w:type="spellStart"/>
      <w:r w:rsidRPr="00AC7415">
        <w:rPr>
          <w:rFonts w:asciiTheme="minorHAnsi" w:hAnsiTheme="minorHAnsi" w:cstheme="minorHAnsi"/>
          <w:sz w:val="18"/>
          <w:szCs w:val="18"/>
        </w:rPr>
        <w:t>mikroprzedsiębiorców</w:t>
      </w:r>
      <w:proofErr w:type="spellEnd"/>
      <w:r w:rsidRPr="00AC7415">
        <w:rPr>
          <w:rFonts w:asciiTheme="minorHAnsi" w:hAnsiTheme="minorHAnsi" w:cstheme="minorHAnsi"/>
          <w:sz w:val="18"/>
          <w:szCs w:val="18"/>
        </w:rPr>
        <w:t>, małych i średnich przedsiębiorców oraz tworzenia miejsc pracy w mikroprzedsiębiorstwach, małych i średnich przedsiębiorstwach, w tym poprzez inwestycje produkcyjne w ramach regionalnych programów na lata 2021–2027</w:t>
      </w:r>
      <w:r w:rsidR="007D1498" w:rsidRPr="00AC7415">
        <w:rPr>
          <w:rFonts w:asciiTheme="minorHAnsi" w:hAnsiTheme="minorHAnsi" w:cstheme="minorHAnsi"/>
          <w:sz w:val="18"/>
          <w:szCs w:val="18"/>
        </w:rPr>
        <w:t>;</w:t>
      </w:r>
    </w:p>
  </w:footnote>
  <w:footnote w:id="14">
    <w:p w14:paraId="16A39286" w14:textId="2F87EB55" w:rsidR="007D1498" w:rsidRPr="00AC7415" w:rsidRDefault="007D1498" w:rsidP="00AC7415">
      <w:pPr>
        <w:pStyle w:val="Tekstprzypisudolnego"/>
        <w:ind w:hanging="142"/>
        <w:jc w:val="both"/>
        <w:rPr>
          <w:sz w:val="18"/>
          <w:szCs w:val="18"/>
        </w:rPr>
      </w:pPr>
      <w:r w:rsidRPr="00AC7415">
        <w:rPr>
          <w:sz w:val="18"/>
          <w:szCs w:val="18"/>
        </w:rPr>
        <w:footnoteRef/>
      </w:r>
      <w:r w:rsidRPr="00AC7415">
        <w:rPr>
          <w:sz w:val="18"/>
          <w:szCs w:val="18"/>
        </w:rPr>
        <w:t xml:space="preserve"> Obliczanej przy zastosowaniu obowiązującej stopy bazowej oraz marży ustalonej w oparciu o Komunikat Komisji Europejskiej z dnia 19 stycznia 2008 r. w sprawie zmiany metody ustalania stóp referencyjnych i  dyskontowych lub komunikatu zastępującego.</w:t>
      </w:r>
    </w:p>
  </w:footnote>
  <w:footnote w:id="15">
    <w:p w14:paraId="5695E298" w14:textId="47AFA232" w:rsidR="007D1498" w:rsidRPr="00AC7415" w:rsidRDefault="007D1498" w:rsidP="00AC7415">
      <w:pPr>
        <w:pStyle w:val="Tekstprzypisudolnego"/>
        <w:ind w:hanging="142"/>
        <w:jc w:val="both"/>
        <w:rPr>
          <w:rFonts w:asciiTheme="minorHAnsi" w:hAnsiTheme="minorHAnsi" w:cstheme="minorHAnsi"/>
          <w:sz w:val="18"/>
          <w:szCs w:val="18"/>
        </w:rPr>
      </w:pPr>
      <w:r w:rsidRPr="00AC7415">
        <w:rPr>
          <w:sz w:val="18"/>
          <w:szCs w:val="18"/>
        </w:rPr>
        <w:footnoteRef/>
      </w:r>
      <w:r w:rsidRPr="00AC7415">
        <w:rPr>
          <w:sz w:val="18"/>
          <w:szCs w:val="18"/>
        </w:rPr>
        <w:t xml:space="preserve"> Obliczany zgodnie z Rozporządzeniem Rady Ministrów z dnia 11 sierpnia 2004 r. w sprawie szczegółowego sposobu obliczania wartości pomocy publicznej udzielanej w różnych formach</w:t>
      </w:r>
    </w:p>
  </w:footnote>
  <w:footnote w:id="16">
    <w:p w14:paraId="772F643F" w14:textId="2584C2CA" w:rsidR="00E66B12" w:rsidRPr="00E66B12" w:rsidRDefault="00E66B12">
      <w:pPr>
        <w:pStyle w:val="Tekstprzypisudolnego"/>
        <w:rPr>
          <w:sz w:val="18"/>
          <w:szCs w:val="18"/>
        </w:rPr>
      </w:pPr>
      <w:r w:rsidRPr="00E66B12">
        <w:rPr>
          <w:rStyle w:val="Odwoanieprzypisudolnego"/>
          <w:sz w:val="18"/>
          <w:szCs w:val="18"/>
        </w:rPr>
        <w:footnoteRef/>
      </w:r>
      <w:r w:rsidRPr="00E66B12">
        <w:rPr>
          <w:sz w:val="18"/>
          <w:szCs w:val="18"/>
        </w:rPr>
        <w:t xml:space="preserve"> wydatki związane z wdrażaniem rozwiązań cyfrowych powinny stanowić powyżej 50% wydatków kwalifikowalnych 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07599" w14:textId="22C28B25" w:rsidR="0095547B" w:rsidRDefault="0095547B" w:rsidP="0095547B">
    <w:pPr>
      <w:pStyle w:val="Nagwek"/>
      <w:jc w:val="right"/>
    </w:pPr>
  </w:p>
  <w:p w14:paraId="74A88D62" w14:textId="77777777" w:rsidR="0095547B" w:rsidRDefault="0095547B" w:rsidP="0095547B">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C19E" w14:textId="5825F5AC" w:rsidR="00697136" w:rsidRPr="00863AC6" w:rsidRDefault="00697136" w:rsidP="00863AC6">
    <w:pPr>
      <w:pStyle w:val="Nagwek"/>
      <w:tabs>
        <w:tab w:val="clear" w:pos="9072"/>
        <w:tab w:val="left" w:pos="5559"/>
      </w:tabs>
      <w:spacing w:before="144" w:after="144"/>
      <w:rPr>
        <w:sz w:val="16"/>
        <w:szCs w:val="16"/>
      </w:rPr>
    </w:pPr>
    <w:r w:rsidRPr="00CD29AD">
      <w:rPr>
        <w:rFonts w:ascii="Arial" w:hAnsi="Arial" w:cs="Arial"/>
        <w:noProof/>
      </w:rPr>
      <w:tab/>
    </w:r>
    <w:r w:rsidR="00863AC6">
      <w:rPr>
        <w:noProof/>
        <w:lang w:eastAsia="pl-PL"/>
      </w:rPr>
      <w:drawing>
        <wp:inline distT="0" distB="0" distL="0" distR="0" wp14:anchorId="00C9BD59" wp14:editId="5671BA73">
          <wp:extent cx="4562865" cy="515113"/>
          <wp:effectExtent l="0" t="0" r="0" b="0"/>
          <wp:docPr id="71069316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77319" name="Obraz 2023177319"/>
                  <pic:cNvPicPr/>
                </pic:nvPicPr>
                <pic:blipFill>
                  <a:blip r:embed="rId1">
                    <a:extLst>
                      <a:ext uri="{28A0092B-C50C-407E-A947-70E740481C1C}">
                        <a14:useLocalDpi xmlns:a14="http://schemas.microsoft.com/office/drawing/2010/main" val="0"/>
                      </a:ext>
                    </a:extLst>
                  </a:blip>
                  <a:stretch>
                    <a:fillRect/>
                  </a:stretch>
                </pic:blipFill>
                <pic:spPr>
                  <a:xfrm>
                    <a:off x="0" y="0"/>
                    <a:ext cx="4562865" cy="515113"/>
                  </a:xfrm>
                  <a:prstGeom prst="rect">
                    <a:avLst/>
                  </a:prstGeom>
                </pic:spPr>
              </pic:pic>
            </a:graphicData>
          </a:graphic>
        </wp:inline>
      </w:drawing>
    </w:r>
    <w:r>
      <w:rPr>
        <w:rFonts w:ascii="Arial" w:hAnsi="Arial" w:cs="Arial"/>
        <w:noProof/>
      </w:rPr>
      <w:tab/>
    </w:r>
    <w:r w:rsidRPr="00CD29AD">
      <w:rPr>
        <w:rFonts w:ascii="Arial" w:hAnsi="Arial" w:cs="Arial"/>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01"/>
    <w:multiLevelType w:val="hybridMultilevel"/>
    <w:tmpl w:val="FF3C4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C5CCF"/>
    <w:multiLevelType w:val="hybridMultilevel"/>
    <w:tmpl w:val="FD7AE9D6"/>
    <w:lvl w:ilvl="0" w:tplc="CA4A381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72257C"/>
    <w:multiLevelType w:val="hybridMultilevel"/>
    <w:tmpl w:val="1BEED9C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21991"/>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4" w15:restartNumberingAfterBreak="0">
    <w:nsid w:val="10096EC8"/>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925560"/>
    <w:multiLevelType w:val="hybridMultilevel"/>
    <w:tmpl w:val="C952D3F0"/>
    <w:lvl w:ilvl="0" w:tplc="F0C20CE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69AB"/>
    <w:multiLevelType w:val="hybridMultilevel"/>
    <w:tmpl w:val="D05E616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5591FDE"/>
    <w:multiLevelType w:val="hybridMultilevel"/>
    <w:tmpl w:val="7FE03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04141"/>
    <w:multiLevelType w:val="hybridMultilevel"/>
    <w:tmpl w:val="449ED7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B508E5"/>
    <w:multiLevelType w:val="hybridMultilevel"/>
    <w:tmpl w:val="CB90FD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97A2B"/>
    <w:multiLevelType w:val="hybridMultilevel"/>
    <w:tmpl w:val="08A4D6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49531D0"/>
    <w:multiLevelType w:val="hybridMultilevel"/>
    <w:tmpl w:val="5D949320"/>
    <w:lvl w:ilvl="0" w:tplc="4F7E2E0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66CDA"/>
    <w:multiLevelType w:val="hybridMultilevel"/>
    <w:tmpl w:val="4BA0CD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1A5F2B"/>
    <w:multiLevelType w:val="hybridMultilevel"/>
    <w:tmpl w:val="3AC29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B47B34"/>
    <w:multiLevelType w:val="hybridMultilevel"/>
    <w:tmpl w:val="B630F5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017E8"/>
    <w:multiLevelType w:val="hybridMultilevel"/>
    <w:tmpl w:val="014AE26E"/>
    <w:lvl w:ilvl="0" w:tplc="0415000F">
      <w:start w:val="1"/>
      <w:numFmt w:val="decimal"/>
      <w:lvlText w:val="%1."/>
      <w:lvlJc w:val="left"/>
      <w:pPr>
        <w:ind w:left="6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11">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abstractNum w:abstractNumId="17" w15:restartNumberingAfterBreak="0">
    <w:nsid w:val="40BC3318"/>
    <w:multiLevelType w:val="hybridMultilevel"/>
    <w:tmpl w:val="ACF01826"/>
    <w:lvl w:ilvl="0" w:tplc="8806F6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B01A2"/>
    <w:multiLevelType w:val="hybridMultilevel"/>
    <w:tmpl w:val="DB7E0FBA"/>
    <w:lvl w:ilvl="0" w:tplc="9500BE10">
      <w:start w:val="1"/>
      <w:numFmt w:val="decimal"/>
      <w:lvlText w:val="%1)"/>
      <w:lvlJc w:val="left"/>
      <w:pPr>
        <w:ind w:left="72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4C4E58"/>
    <w:multiLevelType w:val="hybridMultilevel"/>
    <w:tmpl w:val="6C080868"/>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C4421"/>
    <w:multiLevelType w:val="hybridMultilevel"/>
    <w:tmpl w:val="E278D60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B86E19"/>
    <w:multiLevelType w:val="hybridMultilevel"/>
    <w:tmpl w:val="67244EF0"/>
    <w:lvl w:ilvl="0" w:tplc="FFFFFFFF">
      <w:start w:val="1"/>
      <w:numFmt w:val="decimal"/>
      <w:lvlText w:val="%1."/>
      <w:lvlJc w:val="left"/>
      <w:pPr>
        <w:ind w:left="360" w:hanging="360"/>
      </w:pPr>
    </w:lvl>
    <w:lvl w:ilvl="1" w:tplc="69486BFE">
      <w:start w:val="1"/>
      <w:numFmt w:val="decimal"/>
      <w:lvlText w:val="%2)"/>
      <w:lvlJc w:val="left"/>
      <w:pPr>
        <w:ind w:left="1440" w:hanging="360"/>
      </w:pPr>
      <w:rPr>
        <w:rFonts w:asciiTheme="minorHAnsi" w:hAnsiTheme="minorHAnsi" w:cstheme="minorHAnsi" w:hint="default"/>
        <w:color w:val="auto"/>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40C30"/>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BD3D5A"/>
    <w:multiLevelType w:val="hybridMultilevel"/>
    <w:tmpl w:val="8A1AB180"/>
    <w:lvl w:ilvl="0" w:tplc="6EB2FE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DEE3523"/>
    <w:multiLevelType w:val="hybridMultilevel"/>
    <w:tmpl w:val="891214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FCC70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6" w15:restartNumberingAfterBreak="0">
    <w:nsid w:val="62954C9D"/>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7" w15:restartNumberingAfterBreak="0">
    <w:nsid w:val="6A9F169C"/>
    <w:multiLevelType w:val="hybridMultilevel"/>
    <w:tmpl w:val="315E652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B4C01C9"/>
    <w:multiLevelType w:val="hybridMultilevel"/>
    <w:tmpl w:val="DADCB9D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BF3C41"/>
    <w:multiLevelType w:val="hybridMultilevel"/>
    <w:tmpl w:val="405EACD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0" w15:restartNumberingAfterBreak="0">
    <w:nsid w:val="6D576886"/>
    <w:multiLevelType w:val="hybridMultilevel"/>
    <w:tmpl w:val="0F3239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896A51"/>
    <w:multiLevelType w:val="hybridMultilevel"/>
    <w:tmpl w:val="F5488A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150011">
      <w:start w:val="1"/>
      <w:numFmt w:val="decimal"/>
      <w:lvlText w:val="%5)"/>
      <w:lvlJc w:val="left"/>
      <w:pPr>
        <w:ind w:left="2138"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0165BC"/>
    <w:multiLevelType w:val="hybridMultilevel"/>
    <w:tmpl w:val="524808D0"/>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7A167F25"/>
    <w:multiLevelType w:val="hybridMultilevel"/>
    <w:tmpl w:val="24E031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CC727D8"/>
    <w:multiLevelType w:val="hybridMultilevel"/>
    <w:tmpl w:val="569CEF80"/>
    <w:lvl w:ilvl="0" w:tplc="0415000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35" w15:restartNumberingAfterBreak="0">
    <w:nsid w:val="7FD90F4B"/>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abstractNumId w:val="5"/>
  </w:num>
  <w:num w:numId="2">
    <w:abstractNumId w:val="16"/>
  </w:num>
  <w:num w:numId="3">
    <w:abstractNumId w:val="13"/>
  </w:num>
  <w:num w:numId="4">
    <w:abstractNumId w:val="24"/>
  </w:num>
  <w:num w:numId="5">
    <w:abstractNumId w:val="17"/>
  </w:num>
  <w:num w:numId="6">
    <w:abstractNumId w:val="6"/>
  </w:num>
  <w:num w:numId="7">
    <w:abstractNumId w:val="15"/>
  </w:num>
  <w:num w:numId="8">
    <w:abstractNumId w:val="14"/>
  </w:num>
  <w:num w:numId="9">
    <w:abstractNumId w:val="28"/>
  </w:num>
  <w:num w:numId="10">
    <w:abstractNumId w:val="7"/>
  </w:num>
  <w:num w:numId="11">
    <w:abstractNumId w:val="18"/>
  </w:num>
  <w:num w:numId="12">
    <w:abstractNumId w:val="27"/>
  </w:num>
  <w:num w:numId="13">
    <w:abstractNumId w:val="33"/>
  </w:num>
  <w:num w:numId="14">
    <w:abstractNumId w:val="4"/>
  </w:num>
  <w:num w:numId="15">
    <w:abstractNumId w:val="2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1"/>
  </w:num>
  <w:num w:numId="20">
    <w:abstractNumId w:val="10"/>
  </w:num>
  <w:num w:numId="21">
    <w:abstractNumId w:val="29"/>
  </w:num>
  <w:num w:numId="22">
    <w:abstractNumId w:val="11"/>
  </w:num>
  <w:num w:numId="23">
    <w:abstractNumId w:val="0"/>
  </w:num>
  <w:num w:numId="24">
    <w:abstractNumId w:val="9"/>
  </w:num>
  <w:num w:numId="25">
    <w:abstractNumId w:val="34"/>
  </w:num>
  <w:num w:numId="26">
    <w:abstractNumId w:val="22"/>
  </w:num>
  <w:num w:numId="27">
    <w:abstractNumId w:val="3"/>
  </w:num>
  <w:num w:numId="28">
    <w:abstractNumId w:val="20"/>
  </w:num>
  <w:num w:numId="29">
    <w:abstractNumId w:val="19"/>
  </w:num>
  <w:num w:numId="30">
    <w:abstractNumId w:val="23"/>
  </w:num>
  <w:num w:numId="31">
    <w:abstractNumId w:val="30"/>
  </w:num>
  <w:num w:numId="32">
    <w:abstractNumId w:val="2"/>
  </w:num>
  <w:num w:numId="33">
    <w:abstractNumId w:val="32"/>
  </w:num>
  <w:num w:numId="34">
    <w:abstractNumId w:val="31"/>
  </w:num>
  <w:num w:numId="35">
    <w:abstractNumId w:val="8"/>
  </w:num>
  <w:num w:numId="3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76"/>
    <w:rsid w:val="00000564"/>
    <w:rsid w:val="00002716"/>
    <w:rsid w:val="00002C11"/>
    <w:rsid w:val="000030C5"/>
    <w:rsid w:val="000033B0"/>
    <w:rsid w:val="00003DEB"/>
    <w:rsid w:val="00004427"/>
    <w:rsid w:val="00004BAA"/>
    <w:rsid w:val="00005405"/>
    <w:rsid w:val="00006028"/>
    <w:rsid w:val="000062AD"/>
    <w:rsid w:val="000072D8"/>
    <w:rsid w:val="000079CF"/>
    <w:rsid w:val="00007BA2"/>
    <w:rsid w:val="0001031C"/>
    <w:rsid w:val="00010873"/>
    <w:rsid w:val="00010BC2"/>
    <w:rsid w:val="00011516"/>
    <w:rsid w:val="000126F8"/>
    <w:rsid w:val="00012F3E"/>
    <w:rsid w:val="00013256"/>
    <w:rsid w:val="000136F8"/>
    <w:rsid w:val="00013F4E"/>
    <w:rsid w:val="00016B1F"/>
    <w:rsid w:val="00020FD4"/>
    <w:rsid w:val="00022217"/>
    <w:rsid w:val="000226AB"/>
    <w:rsid w:val="00022FD8"/>
    <w:rsid w:val="00026433"/>
    <w:rsid w:val="00026B79"/>
    <w:rsid w:val="00026BE0"/>
    <w:rsid w:val="00026F6E"/>
    <w:rsid w:val="000271D1"/>
    <w:rsid w:val="0002725A"/>
    <w:rsid w:val="00027378"/>
    <w:rsid w:val="000273C7"/>
    <w:rsid w:val="000273F9"/>
    <w:rsid w:val="00030B4F"/>
    <w:rsid w:val="000317DC"/>
    <w:rsid w:val="00035F36"/>
    <w:rsid w:val="0003674F"/>
    <w:rsid w:val="00037041"/>
    <w:rsid w:val="00037B9F"/>
    <w:rsid w:val="00040A4A"/>
    <w:rsid w:val="00041E07"/>
    <w:rsid w:val="0004423B"/>
    <w:rsid w:val="0004424A"/>
    <w:rsid w:val="00044468"/>
    <w:rsid w:val="0004501D"/>
    <w:rsid w:val="0004528D"/>
    <w:rsid w:val="000452EC"/>
    <w:rsid w:val="000460AB"/>
    <w:rsid w:val="0004668E"/>
    <w:rsid w:val="000479EB"/>
    <w:rsid w:val="000517E0"/>
    <w:rsid w:val="00051F49"/>
    <w:rsid w:val="00052D29"/>
    <w:rsid w:val="000536C3"/>
    <w:rsid w:val="00053F11"/>
    <w:rsid w:val="000546F0"/>
    <w:rsid w:val="00054D21"/>
    <w:rsid w:val="00054DF4"/>
    <w:rsid w:val="00055219"/>
    <w:rsid w:val="00055DCA"/>
    <w:rsid w:val="000575F4"/>
    <w:rsid w:val="000578F3"/>
    <w:rsid w:val="000579BF"/>
    <w:rsid w:val="00060437"/>
    <w:rsid w:val="00061E7E"/>
    <w:rsid w:val="00064350"/>
    <w:rsid w:val="0006488E"/>
    <w:rsid w:val="00064EE7"/>
    <w:rsid w:val="00067B18"/>
    <w:rsid w:val="000710BD"/>
    <w:rsid w:val="000719CA"/>
    <w:rsid w:val="00072D0F"/>
    <w:rsid w:val="000748AA"/>
    <w:rsid w:val="0007585A"/>
    <w:rsid w:val="0007713A"/>
    <w:rsid w:val="000775A6"/>
    <w:rsid w:val="00077D14"/>
    <w:rsid w:val="00080313"/>
    <w:rsid w:val="00080497"/>
    <w:rsid w:val="000830D5"/>
    <w:rsid w:val="000838A4"/>
    <w:rsid w:val="00085031"/>
    <w:rsid w:val="00085D5A"/>
    <w:rsid w:val="000863B4"/>
    <w:rsid w:val="00086B7E"/>
    <w:rsid w:val="000902D9"/>
    <w:rsid w:val="000904FF"/>
    <w:rsid w:val="00092696"/>
    <w:rsid w:val="000926CC"/>
    <w:rsid w:val="000929E8"/>
    <w:rsid w:val="000930A6"/>
    <w:rsid w:val="00093138"/>
    <w:rsid w:val="00093297"/>
    <w:rsid w:val="00093A8E"/>
    <w:rsid w:val="00093D27"/>
    <w:rsid w:val="00093F5B"/>
    <w:rsid w:val="00094205"/>
    <w:rsid w:val="00094A4E"/>
    <w:rsid w:val="000964F6"/>
    <w:rsid w:val="000975E2"/>
    <w:rsid w:val="00097D21"/>
    <w:rsid w:val="000A1230"/>
    <w:rsid w:val="000A14C0"/>
    <w:rsid w:val="000A19FE"/>
    <w:rsid w:val="000A44F8"/>
    <w:rsid w:val="000A4BBD"/>
    <w:rsid w:val="000A52A3"/>
    <w:rsid w:val="000A671E"/>
    <w:rsid w:val="000A6AD2"/>
    <w:rsid w:val="000A6F7F"/>
    <w:rsid w:val="000B054B"/>
    <w:rsid w:val="000B0B13"/>
    <w:rsid w:val="000B1123"/>
    <w:rsid w:val="000B13DA"/>
    <w:rsid w:val="000B2D34"/>
    <w:rsid w:val="000B4806"/>
    <w:rsid w:val="000B4D49"/>
    <w:rsid w:val="000B5DBF"/>
    <w:rsid w:val="000B60CD"/>
    <w:rsid w:val="000B6674"/>
    <w:rsid w:val="000B73D9"/>
    <w:rsid w:val="000C18EB"/>
    <w:rsid w:val="000C1A1B"/>
    <w:rsid w:val="000C1AEB"/>
    <w:rsid w:val="000C1D62"/>
    <w:rsid w:val="000C2A30"/>
    <w:rsid w:val="000C2E56"/>
    <w:rsid w:val="000C3494"/>
    <w:rsid w:val="000C350C"/>
    <w:rsid w:val="000C3F38"/>
    <w:rsid w:val="000C46E6"/>
    <w:rsid w:val="000C66AA"/>
    <w:rsid w:val="000C6B76"/>
    <w:rsid w:val="000D0985"/>
    <w:rsid w:val="000D169E"/>
    <w:rsid w:val="000D19F2"/>
    <w:rsid w:val="000D1A8F"/>
    <w:rsid w:val="000D32EE"/>
    <w:rsid w:val="000D4C15"/>
    <w:rsid w:val="000D5402"/>
    <w:rsid w:val="000D600B"/>
    <w:rsid w:val="000D7CA0"/>
    <w:rsid w:val="000E0C8E"/>
    <w:rsid w:val="000E1000"/>
    <w:rsid w:val="000E11F1"/>
    <w:rsid w:val="000E1F06"/>
    <w:rsid w:val="000E2C8D"/>
    <w:rsid w:val="000E3464"/>
    <w:rsid w:val="000E34E8"/>
    <w:rsid w:val="000E3A46"/>
    <w:rsid w:val="000E46D0"/>
    <w:rsid w:val="000E4BCD"/>
    <w:rsid w:val="000E56C8"/>
    <w:rsid w:val="000E6CDA"/>
    <w:rsid w:val="000E727D"/>
    <w:rsid w:val="000F02C1"/>
    <w:rsid w:val="000F0DB5"/>
    <w:rsid w:val="000F0FE3"/>
    <w:rsid w:val="000F170F"/>
    <w:rsid w:val="000F19D1"/>
    <w:rsid w:val="000F1DC2"/>
    <w:rsid w:val="000F27BA"/>
    <w:rsid w:val="000F295C"/>
    <w:rsid w:val="000F362E"/>
    <w:rsid w:val="000F5EB1"/>
    <w:rsid w:val="000F72F8"/>
    <w:rsid w:val="000F73D9"/>
    <w:rsid w:val="000F7537"/>
    <w:rsid w:val="00100348"/>
    <w:rsid w:val="00102E5E"/>
    <w:rsid w:val="0010318F"/>
    <w:rsid w:val="00103A20"/>
    <w:rsid w:val="00103FAF"/>
    <w:rsid w:val="001047E5"/>
    <w:rsid w:val="00104E9D"/>
    <w:rsid w:val="00106969"/>
    <w:rsid w:val="0011161E"/>
    <w:rsid w:val="001120C5"/>
    <w:rsid w:val="001122DD"/>
    <w:rsid w:val="00112707"/>
    <w:rsid w:val="00112990"/>
    <w:rsid w:val="001138CB"/>
    <w:rsid w:val="00114AF7"/>
    <w:rsid w:val="00114FDE"/>
    <w:rsid w:val="0011530E"/>
    <w:rsid w:val="001154B0"/>
    <w:rsid w:val="0011644D"/>
    <w:rsid w:val="001201DA"/>
    <w:rsid w:val="001214A9"/>
    <w:rsid w:val="00121F2F"/>
    <w:rsid w:val="0012200A"/>
    <w:rsid w:val="00122221"/>
    <w:rsid w:val="00122920"/>
    <w:rsid w:val="00122CCA"/>
    <w:rsid w:val="0012340D"/>
    <w:rsid w:val="00124555"/>
    <w:rsid w:val="001265AA"/>
    <w:rsid w:val="00130E21"/>
    <w:rsid w:val="00131564"/>
    <w:rsid w:val="0013162B"/>
    <w:rsid w:val="00131A49"/>
    <w:rsid w:val="001327DB"/>
    <w:rsid w:val="00133B15"/>
    <w:rsid w:val="001341D8"/>
    <w:rsid w:val="0013493F"/>
    <w:rsid w:val="00134DE1"/>
    <w:rsid w:val="0013531F"/>
    <w:rsid w:val="0013551A"/>
    <w:rsid w:val="00135EC2"/>
    <w:rsid w:val="001368DB"/>
    <w:rsid w:val="00136E37"/>
    <w:rsid w:val="00136F48"/>
    <w:rsid w:val="001376B8"/>
    <w:rsid w:val="00137E70"/>
    <w:rsid w:val="001403E0"/>
    <w:rsid w:val="00140A5C"/>
    <w:rsid w:val="00141695"/>
    <w:rsid w:val="00141E20"/>
    <w:rsid w:val="00142B1C"/>
    <w:rsid w:val="00143B24"/>
    <w:rsid w:val="00144043"/>
    <w:rsid w:val="001458FD"/>
    <w:rsid w:val="001465A3"/>
    <w:rsid w:val="00147AAF"/>
    <w:rsid w:val="001500B2"/>
    <w:rsid w:val="001527A6"/>
    <w:rsid w:val="00152A52"/>
    <w:rsid w:val="00153ADE"/>
    <w:rsid w:val="00153C84"/>
    <w:rsid w:val="00154A54"/>
    <w:rsid w:val="00154ACF"/>
    <w:rsid w:val="0015630F"/>
    <w:rsid w:val="001564A5"/>
    <w:rsid w:val="00156729"/>
    <w:rsid w:val="00156913"/>
    <w:rsid w:val="00156F4B"/>
    <w:rsid w:val="0015758E"/>
    <w:rsid w:val="001605D3"/>
    <w:rsid w:val="00160EE6"/>
    <w:rsid w:val="0016101A"/>
    <w:rsid w:val="00161449"/>
    <w:rsid w:val="00161757"/>
    <w:rsid w:val="00161C30"/>
    <w:rsid w:val="00163152"/>
    <w:rsid w:val="001636DF"/>
    <w:rsid w:val="0016514A"/>
    <w:rsid w:val="0016599A"/>
    <w:rsid w:val="00165E65"/>
    <w:rsid w:val="001665D3"/>
    <w:rsid w:val="0016686D"/>
    <w:rsid w:val="00166BB0"/>
    <w:rsid w:val="00166C13"/>
    <w:rsid w:val="00167503"/>
    <w:rsid w:val="00167E2F"/>
    <w:rsid w:val="00167F0A"/>
    <w:rsid w:val="0017231F"/>
    <w:rsid w:val="00172C3A"/>
    <w:rsid w:val="00172D16"/>
    <w:rsid w:val="00172E83"/>
    <w:rsid w:val="001732EA"/>
    <w:rsid w:val="00173CB5"/>
    <w:rsid w:val="00174500"/>
    <w:rsid w:val="00176641"/>
    <w:rsid w:val="00177C52"/>
    <w:rsid w:val="00180AFB"/>
    <w:rsid w:val="00180B85"/>
    <w:rsid w:val="00184628"/>
    <w:rsid w:val="0018489E"/>
    <w:rsid w:val="00185AB9"/>
    <w:rsid w:val="00185BD8"/>
    <w:rsid w:val="001873FC"/>
    <w:rsid w:val="0018786E"/>
    <w:rsid w:val="00187E6C"/>
    <w:rsid w:val="001905C6"/>
    <w:rsid w:val="00191675"/>
    <w:rsid w:val="001917FC"/>
    <w:rsid w:val="00192548"/>
    <w:rsid w:val="00192AC2"/>
    <w:rsid w:val="00192DD1"/>
    <w:rsid w:val="00193F22"/>
    <w:rsid w:val="001945CF"/>
    <w:rsid w:val="00195FFC"/>
    <w:rsid w:val="001961B6"/>
    <w:rsid w:val="0019659C"/>
    <w:rsid w:val="00196822"/>
    <w:rsid w:val="00196ADB"/>
    <w:rsid w:val="00196D68"/>
    <w:rsid w:val="00196F5D"/>
    <w:rsid w:val="001973CF"/>
    <w:rsid w:val="001A0B3E"/>
    <w:rsid w:val="001A127E"/>
    <w:rsid w:val="001A2567"/>
    <w:rsid w:val="001A28B3"/>
    <w:rsid w:val="001A2A5C"/>
    <w:rsid w:val="001A4392"/>
    <w:rsid w:val="001A459B"/>
    <w:rsid w:val="001A4E04"/>
    <w:rsid w:val="001A6554"/>
    <w:rsid w:val="001A773F"/>
    <w:rsid w:val="001B0C6E"/>
    <w:rsid w:val="001B0FAC"/>
    <w:rsid w:val="001B152A"/>
    <w:rsid w:val="001B1EA4"/>
    <w:rsid w:val="001B2CA5"/>
    <w:rsid w:val="001B440A"/>
    <w:rsid w:val="001B49B1"/>
    <w:rsid w:val="001B5B41"/>
    <w:rsid w:val="001B6FAE"/>
    <w:rsid w:val="001C0F2A"/>
    <w:rsid w:val="001C1EF1"/>
    <w:rsid w:val="001C20EE"/>
    <w:rsid w:val="001C26C2"/>
    <w:rsid w:val="001C3349"/>
    <w:rsid w:val="001C352C"/>
    <w:rsid w:val="001C4B06"/>
    <w:rsid w:val="001C5DAD"/>
    <w:rsid w:val="001C6CC2"/>
    <w:rsid w:val="001C7E9C"/>
    <w:rsid w:val="001D1626"/>
    <w:rsid w:val="001D1C13"/>
    <w:rsid w:val="001D233E"/>
    <w:rsid w:val="001D258D"/>
    <w:rsid w:val="001D2B35"/>
    <w:rsid w:val="001D353E"/>
    <w:rsid w:val="001D3D39"/>
    <w:rsid w:val="001D46C7"/>
    <w:rsid w:val="001D4D30"/>
    <w:rsid w:val="001D5417"/>
    <w:rsid w:val="001D5BB0"/>
    <w:rsid w:val="001D64F2"/>
    <w:rsid w:val="001D6A6E"/>
    <w:rsid w:val="001D7381"/>
    <w:rsid w:val="001E0DA4"/>
    <w:rsid w:val="001E0DFF"/>
    <w:rsid w:val="001E112E"/>
    <w:rsid w:val="001E12C2"/>
    <w:rsid w:val="001E5DC5"/>
    <w:rsid w:val="001E6D74"/>
    <w:rsid w:val="001E76DB"/>
    <w:rsid w:val="001F0850"/>
    <w:rsid w:val="001F0F25"/>
    <w:rsid w:val="001F142C"/>
    <w:rsid w:val="001F2491"/>
    <w:rsid w:val="001F2731"/>
    <w:rsid w:val="001F2CDB"/>
    <w:rsid w:val="001F3DF0"/>
    <w:rsid w:val="001F499D"/>
    <w:rsid w:val="001F520E"/>
    <w:rsid w:val="001F5624"/>
    <w:rsid w:val="001F7A84"/>
    <w:rsid w:val="0020003A"/>
    <w:rsid w:val="00200059"/>
    <w:rsid w:val="00200896"/>
    <w:rsid w:val="002027CC"/>
    <w:rsid w:val="00203A46"/>
    <w:rsid w:val="00204E20"/>
    <w:rsid w:val="00205E3D"/>
    <w:rsid w:val="00207F83"/>
    <w:rsid w:val="00210534"/>
    <w:rsid w:val="00211D69"/>
    <w:rsid w:val="002138FE"/>
    <w:rsid w:val="00213F1D"/>
    <w:rsid w:val="00214734"/>
    <w:rsid w:val="00214F58"/>
    <w:rsid w:val="0021652C"/>
    <w:rsid w:val="0021654C"/>
    <w:rsid w:val="00216CDB"/>
    <w:rsid w:val="00217FE7"/>
    <w:rsid w:val="00220B11"/>
    <w:rsid w:val="00220B40"/>
    <w:rsid w:val="00220E6E"/>
    <w:rsid w:val="002213D4"/>
    <w:rsid w:val="00221A9F"/>
    <w:rsid w:val="00223236"/>
    <w:rsid w:val="0022627D"/>
    <w:rsid w:val="00226586"/>
    <w:rsid w:val="00230836"/>
    <w:rsid w:val="00232644"/>
    <w:rsid w:val="002341C7"/>
    <w:rsid w:val="0023462C"/>
    <w:rsid w:val="002346C3"/>
    <w:rsid w:val="002356F2"/>
    <w:rsid w:val="00236510"/>
    <w:rsid w:val="00236FE8"/>
    <w:rsid w:val="00237DCA"/>
    <w:rsid w:val="00237F1A"/>
    <w:rsid w:val="0024087F"/>
    <w:rsid w:val="00241025"/>
    <w:rsid w:val="0024156E"/>
    <w:rsid w:val="00242EEF"/>
    <w:rsid w:val="00243590"/>
    <w:rsid w:val="00243BEF"/>
    <w:rsid w:val="002447AC"/>
    <w:rsid w:val="00245CBA"/>
    <w:rsid w:val="00246BD4"/>
    <w:rsid w:val="00247E13"/>
    <w:rsid w:val="00250175"/>
    <w:rsid w:val="002511F5"/>
    <w:rsid w:val="00251C97"/>
    <w:rsid w:val="0025381D"/>
    <w:rsid w:val="002543B4"/>
    <w:rsid w:val="00254F10"/>
    <w:rsid w:val="0025584C"/>
    <w:rsid w:val="00255ADA"/>
    <w:rsid w:val="00255BA9"/>
    <w:rsid w:val="002564A6"/>
    <w:rsid w:val="00257186"/>
    <w:rsid w:val="0025748C"/>
    <w:rsid w:val="00257B61"/>
    <w:rsid w:val="002612FF"/>
    <w:rsid w:val="002615EE"/>
    <w:rsid w:val="002639D9"/>
    <w:rsid w:val="00264AC4"/>
    <w:rsid w:val="00265256"/>
    <w:rsid w:val="00265DDA"/>
    <w:rsid w:val="00265E3C"/>
    <w:rsid w:val="00266758"/>
    <w:rsid w:val="00266CB3"/>
    <w:rsid w:val="00267062"/>
    <w:rsid w:val="0026712B"/>
    <w:rsid w:val="0026725C"/>
    <w:rsid w:val="00267BFB"/>
    <w:rsid w:val="00270BF4"/>
    <w:rsid w:val="00273A49"/>
    <w:rsid w:val="00274ED6"/>
    <w:rsid w:val="00276339"/>
    <w:rsid w:val="00276422"/>
    <w:rsid w:val="002771E9"/>
    <w:rsid w:val="00277276"/>
    <w:rsid w:val="00277596"/>
    <w:rsid w:val="002802A7"/>
    <w:rsid w:val="002808FF"/>
    <w:rsid w:val="00280B0A"/>
    <w:rsid w:val="00281C3A"/>
    <w:rsid w:val="00282514"/>
    <w:rsid w:val="002826E5"/>
    <w:rsid w:val="002829E1"/>
    <w:rsid w:val="0028384C"/>
    <w:rsid w:val="0028442F"/>
    <w:rsid w:val="002844AD"/>
    <w:rsid w:val="002845CA"/>
    <w:rsid w:val="0028528D"/>
    <w:rsid w:val="00286415"/>
    <w:rsid w:val="00286819"/>
    <w:rsid w:val="00286D53"/>
    <w:rsid w:val="00287453"/>
    <w:rsid w:val="00287963"/>
    <w:rsid w:val="00287CB9"/>
    <w:rsid w:val="0029049F"/>
    <w:rsid w:val="00291940"/>
    <w:rsid w:val="00292272"/>
    <w:rsid w:val="00293159"/>
    <w:rsid w:val="00294126"/>
    <w:rsid w:val="00295365"/>
    <w:rsid w:val="00295991"/>
    <w:rsid w:val="00296C17"/>
    <w:rsid w:val="00297D72"/>
    <w:rsid w:val="002A0C7D"/>
    <w:rsid w:val="002A3ACC"/>
    <w:rsid w:val="002A4EF0"/>
    <w:rsid w:val="002A5706"/>
    <w:rsid w:val="002A63A2"/>
    <w:rsid w:val="002A70F2"/>
    <w:rsid w:val="002A7AD7"/>
    <w:rsid w:val="002A7FFE"/>
    <w:rsid w:val="002B0934"/>
    <w:rsid w:val="002B11C1"/>
    <w:rsid w:val="002B2C3D"/>
    <w:rsid w:val="002B3118"/>
    <w:rsid w:val="002B4790"/>
    <w:rsid w:val="002B570E"/>
    <w:rsid w:val="002B6A7C"/>
    <w:rsid w:val="002C1A88"/>
    <w:rsid w:val="002C2B6A"/>
    <w:rsid w:val="002C3442"/>
    <w:rsid w:val="002C3954"/>
    <w:rsid w:val="002C5275"/>
    <w:rsid w:val="002C5434"/>
    <w:rsid w:val="002C55DE"/>
    <w:rsid w:val="002C5EEF"/>
    <w:rsid w:val="002D019F"/>
    <w:rsid w:val="002D09DD"/>
    <w:rsid w:val="002D0F5F"/>
    <w:rsid w:val="002D1C48"/>
    <w:rsid w:val="002D38B6"/>
    <w:rsid w:val="002D3E88"/>
    <w:rsid w:val="002D40ED"/>
    <w:rsid w:val="002D589D"/>
    <w:rsid w:val="002D6562"/>
    <w:rsid w:val="002D737F"/>
    <w:rsid w:val="002D7641"/>
    <w:rsid w:val="002E0530"/>
    <w:rsid w:val="002E0F33"/>
    <w:rsid w:val="002E171C"/>
    <w:rsid w:val="002E1C5A"/>
    <w:rsid w:val="002E39B9"/>
    <w:rsid w:val="002E53AF"/>
    <w:rsid w:val="002E5C88"/>
    <w:rsid w:val="002E5C9D"/>
    <w:rsid w:val="002E5FF3"/>
    <w:rsid w:val="002F03F4"/>
    <w:rsid w:val="002F0D52"/>
    <w:rsid w:val="002F15C0"/>
    <w:rsid w:val="002F1AA4"/>
    <w:rsid w:val="002F2365"/>
    <w:rsid w:val="002F61F8"/>
    <w:rsid w:val="002F624D"/>
    <w:rsid w:val="00300470"/>
    <w:rsid w:val="003023B8"/>
    <w:rsid w:val="0030323F"/>
    <w:rsid w:val="0030345D"/>
    <w:rsid w:val="0030415C"/>
    <w:rsid w:val="00305C5A"/>
    <w:rsid w:val="003069DD"/>
    <w:rsid w:val="003071CC"/>
    <w:rsid w:val="003077F0"/>
    <w:rsid w:val="003105D3"/>
    <w:rsid w:val="00310730"/>
    <w:rsid w:val="00311166"/>
    <w:rsid w:val="0031356C"/>
    <w:rsid w:val="003136F0"/>
    <w:rsid w:val="003144B3"/>
    <w:rsid w:val="0031490D"/>
    <w:rsid w:val="003152BA"/>
    <w:rsid w:val="003156FE"/>
    <w:rsid w:val="0031748F"/>
    <w:rsid w:val="003177E4"/>
    <w:rsid w:val="00321EA9"/>
    <w:rsid w:val="00322567"/>
    <w:rsid w:val="00322715"/>
    <w:rsid w:val="00323B16"/>
    <w:rsid w:val="003244B8"/>
    <w:rsid w:val="00326BE7"/>
    <w:rsid w:val="0032794E"/>
    <w:rsid w:val="00330F3D"/>
    <w:rsid w:val="003319C2"/>
    <w:rsid w:val="00332C28"/>
    <w:rsid w:val="00333542"/>
    <w:rsid w:val="00333757"/>
    <w:rsid w:val="00335470"/>
    <w:rsid w:val="003369D7"/>
    <w:rsid w:val="0033705C"/>
    <w:rsid w:val="0033726F"/>
    <w:rsid w:val="00337B7D"/>
    <w:rsid w:val="00337D15"/>
    <w:rsid w:val="00337EAC"/>
    <w:rsid w:val="003408A3"/>
    <w:rsid w:val="00341148"/>
    <w:rsid w:val="003419FE"/>
    <w:rsid w:val="00342319"/>
    <w:rsid w:val="00342321"/>
    <w:rsid w:val="00342337"/>
    <w:rsid w:val="00344C2E"/>
    <w:rsid w:val="00345F86"/>
    <w:rsid w:val="00346701"/>
    <w:rsid w:val="00346A4B"/>
    <w:rsid w:val="003503E6"/>
    <w:rsid w:val="003505BD"/>
    <w:rsid w:val="00351209"/>
    <w:rsid w:val="0035498E"/>
    <w:rsid w:val="00354B83"/>
    <w:rsid w:val="003562D8"/>
    <w:rsid w:val="003568EB"/>
    <w:rsid w:val="00356903"/>
    <w:rsid w:val="00356AFF"/>
    <w:rsid w:val="00357EAA"/>
    <w:rsid w:val="0036036F"/>
    <w:rsid w:val="00361601"/>
    <w:rsid w:val="003619AC"/>
    <w:rsid w:val="00364012"/>
    <w:rsid w:val="00364014"/>
    <w:rsid w:val="0036433D"/>
    <w:rsid w:val="00364421"/>
    <w:rsid w:val="0036546E"/>
    <w:rsid w:val="00366631"/>
    <w:rsid w:val="0037035F"/>
    <w:rsid w:val="00370740"/>
    <w:rsid w:val="00370894"/>
    <w:rsid w:val="00371752"/>
    <w:rsid w:val="00371EDA"/>
    <w:rsid w:val="003725E0"/>
    <w:rsid w:val="0037277E"/>
    <w:rsid w:val="00375279"/>
    <w:rsid w:val="00375439"/>
    <w:rsid w:val="00376D87"/>
    <w:rsid w:val="003770AC"/>
    <w:rsid w:val="003776F8"/>
    <w:rsid w:val="00380643"/>
    <w:rsid w:val="003812EC"/>
    <w:rsid w:val="00383213"/>
    <w:rsid w:val="003837CF"/>
    <w:rsid w:val="00385819"/>
    <w:rsid w:val="003864F6"/>
    <w:rsid w:val="003874B4"/>
    <w:rsid w:val="0038795D"/>
    <w:rsid w:val="0039020E"/>
    <w:rsid w:val="00390224"/>
    <w:rsid w:val="003905A5"/>
    <w:rsid w:val="00390C6C"/>
    <w:rsid w:val="00390DED"/>
    <w:rsid w:val="00393194"/>
    <w:rsid w:val="00393A90"/>
    <w:rsid w:val="00393AC7"/>
    <w:rsid w:val="00394558"/>
    <w:rsid w:val="003976F1"/>
    <w:rsid w:val="003A0B44"/>
    <w:rsid w:val="003A274C"/>
    <w:rsid w:val="003A296A"/>
    <w:rsid w:val="003A315B"/>
    <w:rsid w:val="003A5B8F"/>
    <w:rsid w:val="003A6E1F"/>
    <w:rsid w:val="003A6EEF"/>
    <w:rsid w:val="003A7A0D"/>
    <w:rsid w:val="003B13CE"/>
    <w:rsid w:val="003B4333"/>
    <w:rsid w:val="003B4704"/>
    <w:rsid w:val="003B59FB"/>
    <w:rsid w:val="003B609B"/>
    <w:rsid w:val="003B6B48"/>
    <w:rsid w:val="003B6C06"/>
    <w:rsid w:val="003B6C85"/>
    <w:rsid w:val="003C12E3"/>
    <w:rsid w:val="003C14C7"/>
    <w:rsid w:val="003C1B34"/>
    <w:rsid w:val="003C2446"/>
    <w:rsid w:val="003C2714"/>
    <w:rsid w:val="003C3484"/>
    <w:rsid w:val="003C4178"/>
    <w:rsid w:val="003C4BEB"/>
    <w:rsid w:val="003C5D10"/>
    <w:rsid w:val="003C6662"/>
    <w:rsid w:val="003C6EC8"/>
    <w:rsid w:val="003C7F80"/>
    <w:rsid w:val="003D0761"/>
    <w:rsid w:val="003D0A2C"/>
    <w:rsid w:val="003D1574"/>
    <w:rsid w:val="003D15FD"/>
    <w:rsid w:val="003D16CC"/>
    <w:rsid w:val="003D2885"/>
    <w:rsid w:val="003D2F5E"/>
    <w:rsid w:val="003D3F38"/>
    <w:rsid w:val="003D48A9"/>
    <w:rsid w:val="003D5A18"/>
    <w:rsid w:val="003D6269"/>
    <w:rsid w:val="003D6E49"/>
    <w:rsid w:val="003D779C"/>
    <w:rsid w:val="003D78A8"/>
    <w:rsid w:val="003E0713"/>
    <w:rsid w:val="003E167A"/>
    <w:rsid w:val="003E185A"/>
    <w:rsid w:val="003E18F6"/>
    <w:rsid w:val="003E2A8D"/>
    <w:rsid w:val="003E3E39"/>
    <w:rsid w:val="003E475F"/>
    <w:rsid w:val="003E4EB8"/>
    <w:rsid w:val="003E714F"/>
    <w:rsid w:val="003E789C"/>
    <w:rsid w:val="003E7C2C"/>
    <w:rsid w:val="003F06BC"/>
    <w:rsid w:val="003F0DFE"/>
    <w:rsid w:val="003F16BA"/>
    <w:rsid w:val="003F1B5D"/>
    <w:rsid w:val="003F2657"/>
    <w:rsid w:val="003F2A2A"/>
    <w:rsid w:val="003F3A1E"/>
    <w:rsid w:val="003F58EB"/>
    <w:rsid w:val="003F5E54"/>
    <w:rsid w:val="003F5FC4"/>
    <w:rsid w:val="003F6996"/>
    <w:rsid w:val="003F6DBA"/>
    <w:rsid w:val="00400591"/>
    <w:rsid w:val="00400805"/>
    <w:rsid w:val="00402411"/>
    <w:rsid w:val="004040CC"/>
    <w:rsid w:val="004049EC"/>
    <w:rsid w:val="00404AB8"/>
    <w:rsid w:val="00404D97"/>
    <w:rsid w:val="004053E8"/>
    <w:rsid w:val="00407117"/>
    <w:rsid w:val="00407316"/>
    <w:rsid w:val="004103A6"/>
    <w:rsid w:val="00412333"/>
    <w:rsid w:val="0041286D"/>
    <w:rsid w:val="00412FB1"/>
    <w:rsid w:val="00413BDB"/>
    <w:rsid w:val="00414998"/>
    <w:rsid w:val="00414ED9"/>
    <w:rsid w:val="0041519C"/>
    <w:rsid w:val="00415A47"/>
    <w:rsid w:val="00415F22"/>
    <w:rsid w:val="004168E6"/>
    <w:rsid w:val="004170CA"/>
    <w:rsid w:val="00417BC4"/>
    <w:rsid w:val="00417CD9"/>
    <w:rsid w:val="00422796"/>
    <w:rsid w:val="0042336F"/>
    <w:rsid w:val="004239D2"/>
    <w:rsid w:val="0042698F"/>
    <w:rsid w:val="00426BF5"/>
    <w:rsid w:val="00427B44"/>
    <w:rsid w:val="00427DC6"/>
    <w:rsid w:val="00427FAC"/>
    <w:rsid w:val="00431219"/>
    <w:rsid w:val="0043189E"/>
    <w:rsid w:val="00435608"/>
    <w:rsid w:val="00436888"/>
    <w:rsid w:val="00437A95"/>
    <w:rsid w:val="00437E1D"/>
    <w:rsid w:val="00441001"/>
    <w:rsid w:val="004419C0"/>
    <w:rsid w:val="00441A43"/>
    <w:rsid w:val="00441F41"/>
    <w:rsid w:val="00442315"/>
    <w:rsid w:val="004438FE"/>
    <w:rsid w:val="00444A14"/>
    <w:rsid w:val="00445D37"/>
    <w:rsid w:val="00445D82"/>
    <w:rsid w:val="004468C9"/>
    <w:rsid w:val="00447A34"/>
    <w:rsid w:val="00447F0F"/>
    <w:rsid w:val="004501FA"/>
    <w:rsid w:val="0045024C"/>
    <w:rsid w:val="00450D6A"/>
    <w:rsid w:val="00451794"/>
    <w:rsid w:val="00451A01"/>
    <w:rsid w:val="00452C7E"/>
    <w:rsid w:val="00452D63"/>
    <w:rsid w:val="00454935"/>
    <w:rsid w:val="00454A1A"/>
    <w:rsid w:val="00455412"/>
    <w:rsid w:val="004568AF"/>
    <w:rsid w:val="00457152"/>
    <w:rsid w:val="004579EE"/>
    <w:rsid w:val="00460770"/>
    <w:rsid w:val="00462294"/>
    <w:rsid w:val="00462C9B"/>
    <w:rsid w:val="00462E12"/>
    <w:rsid w:val="00462E39"/>
    <w:rsid w:val="00462F04"/>
    <w:rsid w:val="00465AF8"/>
    <w:rsid w:val="00465DD6"/>
    <w:rsid w:val="004664B7"/>
    <w:rsid w:val="00467BCB"/>
    <w:rsid w:val="00470856"/>
    <w:rsid w:val="00470E46"/>
    <w:rsid w:val="00474436"/>
    <w:rsid w:val="00475C2E"/>
    <w:rsid w:val="00476EDF"/>
    <w:rsid w:val="004778E5"/>
    <w:rsid w:val="00477973"/>
    <w:rsid w:val="00477AC0"/>
    <w:rsid w:val="004806E7"/>
    <w:rsid w:val="0048090C"/>
    <w:rsid w:val="00480CFB"/>
    <w:rsid w:val="004811E7"/>
    <w:rsid w:val="00481662"/>
    <w:rsid w:val="00483BE0"/>
    <w:rsid w:val="00484263"/>
    <w:rsid w:val="00484575"/>
    <w:rsid w:val="004858EB"/>
    <w:rsid w:val="004866B2"/>
    <w:rsid w:val="00486BD1"/>
    <w:rsid w:val="00486FAD"/>
    <w:rsid w:val="00490A94"/>
    <w:rsid w:val="00491545"/>
    <w:rsid w:val="0049265B"/>
    <w:rsid w:val="00493D58"/>
    <w:rsid w:val="00493ED5"/>
    <w:rsid w:val="00494829"/>
    <w:rsid w:val="00497D40"/>
    <w:rsid w:val="004A07B8"/>
    <w:rsid w:val="004A0B15"/>
    <w:rsid w:val="004A101A"/>
    <w:rsid w:val="004A1C6A"/>
    <w:rsid w:val="004A1C98"/>
    <w:rsid w:val="004A2182"/>
    <w:rsid w:val="004A232A"/>
    <w:rsid w:val="004A2F25"/>
    <w:rsid w:val="004A3549"/>
    <w:rsid w:val="004A44A5"/>
    <w:rsid w:val="004A4828"/>
    <w:rsid w:val="004A54A8"/>
    <w:rsid w:val="004A6756"/>
    <w:rsid w:val="004A6789"/>
    <w:rsid w:val="004B124B"/>
    <w:rsid w:val="004B1403"/>
    <w:rsid w:val="004B22CA"/>
    <w:rsid w:val="004B3128"/>
    <w:rsid w:val="004B3134"/>
    <w:rsid w:val="004B337C"/>
    <w:rsid w:val="004B5178"/>
    <w:rsid w:val="004B6FAC"/>
    <w:rsid w:val="004B7707"/>
    <w:rsid w:val="004B7A99"/>
    <w:rsid w:val="004B7B32"/>
    <w:rsid w:val="004B7C13"/>
    <w:rsid w:val="004C052F"/>
    <w:rsid w:val="004C06B7"/>
    <w:rsid w:val="004C131E"/>
    <w:rsid w:val="004C294F"/>
    <w:rsid w:val="004C4158"/>
    <w:rsid w:val="004C4625"/>
    <w:rsid w:val="004C492E"/>
    <w:rsid w:val="004C56C8"/>
    <w:rsid w:val="004C5859"/>
    <w:rsid w:val="004C6903"/>
    <w:rsid w:val="004C6971"/>
    <w:rsid w:val="004C7B0E"/>
    <w:rsid w:val="004D053A"/>
    <w:rsid w:val="004D06A7"/>
    <w:rsid w:val="004D105C"/>
    <w:rsid w:val="004D111D"/>
    <w:rsid w:val="004D3ADB"/>
    <w:rsid w:val="004D3EB5"/>
    <w:rsid w:val="004D405C"/>
    <w:rsid w:val="004D53C0"/>
    <w:rsid w:val="004D5D31"/>
    <w:rsid w:val="004D6CDD"/>
    <w:rsid w:val="004D6CFB"/>
    <w:rsid w:val="004D7430"/>
    <w:rsid w:val="004D7CF5"/>
    <w:rsid w:val="004E05EC"/>
    <w:rsid w:val="004E13D7"/>
    <w:rsid w:val="004E1450"/>
    <w:rsid w:val="004E3816"/>
    <w:rsid w:val="004E40BA"/>
    <w:rsid w:val="004E4E56"/>
    <w:rsid w:val="004E714F"/>
    <w:rsid w:val="004E7F35"/>
    <w:rsid w:val="004F01C6"/>
    <w:rsid w:val="004F067B"/>
    <w:rsid w:val="004F2B00"/>
    <w:rsid w:val="004F2EA4"/>
    <w:rsid w:val="004F2F11"/>
    <w:rsid w:val="004F2FFA"/>
    <w:rsid w:val="004F4478"/>
    <w:rsid w:val="004F58C2"/>
    <w:rsid w:val="004F73F5"/>
    <w:rsid w:val="004F77BF"/>
    <w:rsid w:val="00500A9C"/>
    <w:rsid w:val="00501C26"/>
    <w:rsid w:val="00502053"/>
    <w:rsid w:val="00502D70"/>
    <w:rsid w:val="00504B4E"/>
    <w:rsid w:val="00504D14"/>
    <w:rsid w:val="00504F52"/>
    <w:rsid w:val="00505A7C"/>
    <w:rsid w:val="00505FA1"/>
    <w:rsid w:val="005078C3"/>
    <w:rsid w:val="0050795F"/>
    <w:rsid w:val="0051110B"/>
    <w:rsid w:val="00512244"/>
    <w:rsid w:val="00513AAD"/>
    <w:rsid w:val="00513AE5"/>
    <w:rsid w:val="005143FB"/>
    <w:rsid w:val="0051475B"/>
    <w:rsid w:val="00514A44"/>
    <w:rsid w:val="00515258"/>
    <w:rsid w:val="00516E53"/>
    <w:rsid w:val="00520609"/>
    <w:rsid w:val="0052189E"/>
    <w:rsid w:val="00525198"/>
    <w:rsid w:val="00525E7B"/>
    <w:rsid w:val="0052723C"/>
    <w:rsid w:val="00527C0E"/>
    <w:rsid w:val="005300EF"/>
    <w:rsid w:val="00531E6E"/>
    <w:rsid w:val="00532F17"/>
    <w:rsid w:val="00532FE4"/>
    <w:rsid w:val="0053358D"/>
    <w:rsid w:val="00534E51"/>
    <w:rsid w:val="005359CE"/>
    <w:rsid w:val="005370C6"/>
    <w:rsid w:val="00540426"/>
    <w:rsid w:val="0054046E"/>
    <w:rsid w:val="00540BA0"/>
    <w:rsid w:val="00541130"/>
    <w:rsid w:val="005413C8"/>
    <w:rsid w:val="00541AE7"/>
    <w:rsid w:val="00541E0C"/>
    <w:rsid w:val="0054209A"/>
    <w:rsid w:val="005425AE"/>
    <w:rsid w:val="00542D78"/>
    <w:rsid w:val="00543187"/>
    <w:rsid w:val="00543752"/>
    <w:rsid w:val="005440F1"/>
    <w:rsid w:val="005443AF"/>
    <w:rsid w:val="00545B21"/>
    <w:rsid w:val="00545F48"/>
    <w:rsid w:val="005465BE"/>
    <w:rsid w:val="00546A74"/>
    <w:rsid w:val="005511E4"/>
    <w:rsid w:val="005517B9"/>
    <w:rsid w:val="0055197A"/>
    <w:rsid w:val="00551C05"/>
    <w:rsid w:val="00551F43"/>
    <w:rsid w:val="00552B4C"/>
    <w:rsid w:val="0055551A"/>
    <w:rsid w:val="00555740"/>
    <w:rsid w:val="005565E9"/>
    <w:rsid w:val="00556B13"/>
    <w:rsid w:val="00556D9A"/>
    <w:rsid w:val="00557000"/>
    <w:rsid w:val="00557BE7"/>
    <w:rsid w:val="00557BF6"/>
    <w:rsid w:val="00557E87"/>
    <w:rsid w:val="00557F78"/>
    <w:rsid w:val="00560B36"/>
    <w:rsid w:val="0056136C"/>
    <w:rsid w:val="00562465"/>
    <w:rsid w:val="00562768"/>
    <w:rsid w:val="005666C4"/>
    <w:rsid w:val="00566DB0"/>
    <w:rsid w:val="005673D0"/>
    <w:rsid w:val="005701B2"/>
    <w:rsid w:val="00570F16"/>
    <w:rsid w:val="005718FA"/>
    <w:rsid w:val="005719A4"/>
    <w:rsid w:val="005730CF"/>
    <w:rsid w:val="005733C6"/>
    <w:rsid w:val="005736AE"/>
    <w:rsid w:val="005762B7"/>
    <w:rsid w:val="0057754A"/>
    <w:rsid w:val="005775DF"/>
    <w:rsid w:val="0057785E"/>
    <w:rsid w:val="00577D73"/>
    <w:rsid w:val="00577D94"/>
    <w:rsid w:val="00580A00"/>
    <w:rsid w:val="00581194"/>
    <w:rsid w:val="005819A7"/>
    <w:rsid w:val="00582383"/>
    <w:rsid w:val="0058265C"/>
    <w:rsid w:val="005826A5"/>
    <w:rsid w:val="005829AA"/>
    <w:rsid w:val="00583092"/>
    <w:rsid w:val="00584219"/>
    <w:rsid w:val="00584A9C"/>
    <w:rsid w:val="0058555C"/>
    <w:rsid w:val="005857F6"/>
    <w:rsid w:val="0058595C"/>
    <w:rsid w:val="00586C61"/>
    <w:rsid w:val="00587207"/>
    <w:rsid w:val="005874A5"/>
    <w:rsid w:val="0058768C"/>
    <w:rsid w:val="00587FB8"/>
    <w:rsid w:val="0059088A"/>
    <w:rsid w:val="00593C95"/>
    <w:rsid w:val="00594F51"/>
    <w:rsid w:val="00597E8D"/>
    <w:rsid w:val="005A003A"/>
    <w:rsid w:val="005A0320"/>
    <w:rsid w:val="005A0F04"/>
    <w:rsid w:val="005A128F"/>
    <w:rsid w:val="005A15E4"/>
    <w:rsid w:val="005A16D5"/>
    <w:rsid w:val="005A1D78"/>
    <w:rsid w:val="005A41DA"/>
    <w:rsid w:val="005A4F33"/>
    <w:rsid w:val="005A50A0"/>
    <w:rsid w:val="005A6D8A"/>
    <w:rsid w:val="005A729D"/>
    <w:rsid w:val="005A73C9"/>
    <w:rsid w:val="005A76A7"/>
    <w:rsid w:val="005A793C"/>
    <w:rsid w:val="005B0635"/>
    <w:rsid w:val="005B0DD4"/>
    <w:rsid w:val="005B1A89"/>
    <w:rsid w:val="005B2BC8"/>
    <w:rsid w:val="005B3514"/>
    <w:rsid w:val="005B403E"/>
    <w:rsid w:val="005B46B2"/>
    <w:rsid w:val="005B5A6E"/>
    <w:rsid w:val="005B5E2C"/>
    <w:rsid w:val="005B5E8E"/>
    <w:rsid w:val="005B64D9"/>
    <w:rsid w:val="005B69E0"/>
    <w:rsid w:val="005B6FE4"/>
    <w:rsid w:val="005B737E"/>
    <w:rsid w:val="005B7778"/>
    <w:rsid w:val="005C0151"/>
    <w:rsid w:val="005C057F"/>
    <w:rsid w:val="005C227D"/>
    <w:rsid w:val="005C28AC"/>
    <w:rsid w:val="005C308A"/>
    <w:rsid w:val="005C59FD"/>
    <w:rsid w:val="005C5FBD"/>
    <w:rsid w:val="005C7B5A"/>
    <w:rsid w:val="005D0994"/>
    <w:rsid w:val="005D1AA3"/>
    <w:rsid w:val="005D37DE"/>
    <w:rsid w:val="005D3F5E"/>
    <w:rsid w:val="005D427B"/>
    <w:rsid w:val="005D4384"/>
    <w:rsid w:val="005D5306"/>
    <w:rsid w:val="005D5571"/>
    <w:rsid w:val="005D5B40"/>
    <w:rsid w:val="005D6723"/>
    <w:rsid w:val="005D7307"/>
    <w:rsid w:val="005D7F6B"/>
    <w:rsid w:val="005E11F5"/>
    <w:rsid w:val="005E13C8"/>
    <w:rsid w:val="005E259A"/>
    <w:rsid w:val="005E298A"/>
    <w:rsid w:val="005E3A0E"/>
    <w:rsid w:val="005E4327"/>
    <w:rsid w:val="005E4678"/>
    <w:rsid w:val="005E5903"/>
    <w:rsid w:val="005E74A8"/>
    <w:rsid w:val="005E7723"/>
    <w:rsid w:val="005E7890"/>
    <w:rsid w:val="005E79B9"/>
    <w:rsid w:val="005F0927"/>
    <w:rsid w:val="005F0B34"/>
    <w:rsid w:val="005F114B"/>
    <w:rsid w:val="005F14DB"/>
    <w:rsid w:val="005F15DC"/>
    <w:rsid w:val="005F2BA2"/>
    <w:rsid w:val="005F35C5"/>
    <w:rsid w:val="005F3EAE"/>
    <w:rsid w:val="005F4918"/>
    <w:rsid w:val="005F4950"/>
    <w:rsid w:val="005F4AA7"/>
    <w:rsid w:val="005F4B54"/>
    <w:rsid w:val="005F4B72"/>
    <w:rsid w:val="005F4E59"/>
    <w:rsid w:val="005F4EFA"/>
    <w:rsid w:val="005F5F25"/>
    <w:rsid w:val="005F6AAB"/>
    <w:rsid w:val="005F6DDC"/>
    <w:rsid w:val="005F757E"/>
    <w:rsid w:val="005F7AA2"/>
    <w:rsid w:val="006006EF"/>
    <w:rsid w:val="00601FB9"/>
    <w:rsid w:val="00602461"/>
    <w:rsid w:val="00603503"/>
    <w:rsid w:val="00603680"/>
    <w:rsid w:val="0060557C"/>
    <w:rsid w:val="00605D03"/>
    <w:rsid w:val="00605D66"/>
    <w:rsid w:val="0060666A"/>
    <w:rsid w:val="00611D1D"/>
    <w:rsid w:val="0061265A"/>
    <w:rsid w:val="00612802"/>
    <w:rsid w:val="00612DB6"/>
    <w:rsid w:val="00612E28"/>
    <w:rsid w:val="0061412F"/>
    <w:rsid w:val="00614CDD"/>
    <w:rsid w:val="006151E2"/>
    <w:rsid w:val="00617990"/>
    <w:rsid w:val="00617B38"/>
    <w:rsid w:val="00620DF7"/>
    <w:rsid w:val="0062114E"/>
    <w:rsid w:val="00621203"/>
    <w:rsid w:val="00621514"/>
    <w:rsid w:val="0062183A"/>
    <w:rsid w:val="0062383F"/>
    <w:rsid w:val="00623E3E"/>
    <w:rsid w:val="00623EAB"/>
    <w:rsid w:val="006255D5"/>
    <w:rsid w:val="00626307"/>
    <w:rsid w:val="006265B3"/>
    <w:rsid w:val="00631193"/>
    <w:rsid w:val="00631265"/>
    <w:rsid w:val="00631EDF"/>
    <w:rsid w:val="0063202C"/>
    <w:rsid w:val="00633186"/>
    <w:rsid w:val="006337E9"/>
    <w:rsid w:val="00633EE7"/>
    <w:rsid w:val="006344E6"/>
    <w:rsid w:val="00634BB7"/>
    <w:rsid w:val="00634BCB"/>
    <w:rsid w:val="006352CC"/>
    <w:rsid w:val="0063616F"/>
    <w:rsid w:val="00636B37"/>
    <w:rsid w:val="00637367"/>
    <w:rsid w:val="006373D8"/>
    <w:rsid w:val="0063753E"/>
    <w:rsid w:val="00637F8C"/>
    <w:rsid w:val="00640013"/>
    <w:rsid w:val="00640114"/>
    <w:rsid w:val="0064047B"/>
    <w:rsid w:val="00640665"/>
    <w:rsid w:val="00640704"/>
    <w:rsid w:val="00641DC3"/>
    <w:rsid w:val="00643AB7"/>
    <w:rsid w:val="00644BF0"/>
    <w:rsid w:val="00644CFD"/>
    <w:rsid w:val="00645353"/>
    <w:rsid w:val="006507A9"/>
    <w:rsid w:val="00650BE8"/>
    <w:rsid w:val="006534E2"/>
    <w:rsid w:val="00653BBC"/>
    <w:rsid w:val="00653E64"/>
    <w:rsid w:val="00654643"/>
    <w:rsid w:val="00654874"/>
    <w:rsid w:val="006554FB"/>
    <w:rsid w:val="006558FF"/>
    <w:rsid w:val="00655C9F"/>
    <w:rsid w:val="00656433"/>
    <w:rsid w:val="00656D33"/>
    <w:rsid w:val="00657C57"/>
    <w:rsid w:val="00657EEE"/>
    <w:rsid w:val="006618CA"/>
    <w:rsid w:val="006629B7"/>
    <w:rsid w:val="00662F91"/>
    <w:rsid w:val="006635B8"/>
    <w:rsid w:val="00663A19"/>
    <w:rsid w:val="00663BA8"/>
    <w:rsid w:val="006643D7"/>
    <w:rsid w:val="00664B8F"/>
    <w:rsid w:val="0066562F"/>
    <w:rsid w:val="00665699"/>
    <w:rsid w:val="00666326"/>
    <w:rsid w:val="00667DA2"/>
    <w:rsid w:val="0067019D"/>
    <w:rsid w:val="00670763"/>
    <w:rsid w:val="00670B72"/>
    <w:rsid w:val="0067114C"/>
    <w:rsid w:val="006711DD"/>
    <w:rsid w:val="00671C14"/>
    <w:rsid w:val="00672E84"/>
    <w:rsid w:val="0067303B"/>
    <w:rsid w:val="006745AB"/>
    <w:rsid w:val="00674FC4"/>
    <w:rsid w:val="006754DF"/>
    <w:rsid w:val="00675EC4"/>
    <w:rsid w:val="00675F56"/>
    <w:rsid w:val="00676346"/>
    <w:rsid w:val="00676F56"/>
    <w:rsid w:val="0067784B"/>
    <w:rsid w:val="006803CC"/>
    <w:rsid w:val="006804FE"/>
    <w:rsid w:val="0068068E"/>
    <w:rsid w:val="006809C4"/>
    <w:rsid w:val="00680CC7"/>
    <w:rsid w:val="00682213"/>
    <w:rsid w:val="00682AF7"/>
    <w:rsid w:val="00682BDB"/>
    <w:rsid w:val="0068375E"/>
    <w:rsid w:val="006839E1"/>
    <w:rsid w:val="00684527"/>
    <w:rsid w:val="0068488F"/>
    <w:rsid w:val="0068521C"/>
    <w:rsid w:val="006856FE"/>
    <w:rsid w:val="00686462"/>
    <w:rsid w:val="00686709"/>
    <w:rsid w:val="00687B32"/>
    <w:rsid w:val="00690B19"/>
    <w:rsid w:val="00691754"/>
    <w:rsid w:val="00691C29"/>
    <w:rsid w:val="00692701"/>
    <w:rsid w:val="006931BE"/>
    <w:rsid w:val="006936FB"/>
    <w:rsid w:val="00695028"/>
    <w:rsid w:val="00695BFD"/>
    <w:rsid w:val="00695E48"/>
    <w:rsid w:val="00696274"/>
    <w:rsid w:val="00697048"/>
    <w:rsid w:val="00697136"/>
    <w:rsid w:val="006975FD"/>
    <w:rsid w:val="00697937"/>
    <w:rsid w:val="00697B40"/>
    <w:rsid w:val="006A0620"/>
    <w:rsid w:val="006A0E3F"/>
    <w:rsid w:val="006A4B32"/>
    <w:rsid w:val="006A50BE"/>
    <w:rsid w:val="006A543F"/>
    <w:rsid w:val="006A566F"/>
    <w:rsid w:val="006A597F"/>
    <w:rsid w:val="006A7132"/>
    <w:rsid w:val="006A73F6"/>
    <w:rsid w:val="006A7A9D"/>
    <w:rsid w:val="006B00BD"/>
    <w:rsid w:val="006B0484"/>
    <w:rsid w:val="006B0991"/>
    <w:rsid w:val="006B133E"/>
    <w:rsid w:val="006B199D"/>
    <w:rsid w:val="006B1A34"/>
    <w:rsid w:val="006B2CB7"/>
    <w:rsid w:val="006B4680"/>
    <w:rsid w:val="006B4990"/>
    <w:rsid w:val="006B75A3"/>
    <w:rsid w:val="006B7F73"/>
    <w:rsid w:val="006C15D7"/>
    <w:rsid w:val="006C24E1"/>
    <w:rsid w:val="006C49C4"/>
    <w:rsid w:val="006C4FE4"/>
    <w:rsid w:val="006C69EF"/>
    <w:rsid w:val="006C6A38"/>
    <w:rsid w:val="006C7A63"/>
    <w:rsid w:val="006D02CA"/>
    <w:rsid w:val="006D0934"/>
    <w:rsid w:val="006D0B56"/>
    <w:rsid w:val="006D1BB3"/>
    <w:rsid w:val="006D2687"/>
    <w:rsid w:val="006D2EF8"/>
    <w:rsid w:val="006D437B"/>
    <w:rsid w:val="006D4558"/>
    <w:rsid w:val="006D480A"/>
    <w:rsid w:val="006D5C4B"/>
    <w:rsid w:val="006D5F73"/>
    <w:rsid w:val="006D5FE4"/>
    <w:rsid w:val="006D652B"/>
    <w:rsid w:val="006D6BE9"/>
    <w:rsid w:val="006E06F2"/>
    <w:rsid w:val="006E1284"/>
    <w:rsid w:val="006E24E9"/>
    <w:rsid w:val="006E313B"/>
    <w:rsid w:val="006E3656"/>
    <w:rsid w:val="006E39B9"/>
    <w:rsid w:val="006E3CBD"/>
    <w:rsid w:val="006E3D31"/>
    <w:rsid w:val="006E45EA"/>
    <w:rsid w:val="006E4C2A"/>
    <w:rsid w:val="006E5882"/>
    <w:rsid w:val="006E640F"/>
    <w:rsid w:val="006F115A"/>
    <w:rsid w:val="006F11C1"/>
    <w:rsid w:val="006F162D"/>
    <w:rsid w:val="006F24D0"/>
    <w:rsid w:val="006F2D5D"/>
    <w:rsid w:val="006F346A"/>
    <w:rsid w:val="006F3934"/>
    <w:rsid w:val="006F3E8C"/>
    <w:rsid w:val="006F465D"/>
    <w:rsid w:val="006F50A2"/>
    <w:rsid w:val="006F5BAD"/>
    <w:rsid w:val="006F64C7"/>
    <w:rsid w:val="006F6B70"/>
    <w:rsid w:val="006F71E0"/>
    <w:rsid w:val="00700DAD"/>
    <w:rsid w:val="00702063"/>
    <w:rsid w:val="00704A6F"/>
    <w:rsid w:val="00704D1E"/>
    <w:rsid w:val="00706E1C"/>
    <w:rsid w:val="007119AF"/>
    <w:rsid w:val="00712BC6"/>
    <w:rsid w:val="0071315B"/>
    <w:rsid w:val="007133F1"/>
    <w:rsid w:val="00714570"/>
    <w:rsid w:val="0071479C"/>
    <w:rsid w:val="007147A0"/>
    <w:rsid w:val="007153D4"/>
    <w:rsid w:val="00717668"/>
    <w:rsid w:val="00720802"/>
    <w:rsid w:val="00720C8D"/>
    <w:rsid w:val="00723C65"/>
    <w:rsid w:val="00724BCA"/>
    <w:rsid w:val="00726F6E"/>
    <w:rsid w:val="00727FE2"/>
    <w:rsid w:val="00730601"/>
    <w:rsid w:val="00730818"/>
    <w:rsid w:val="0073129A"/>
    <w:rsid w:val="0073292C"/>
    <w:rsid w:val="00733662"/>
    <w:rsid w:val="00736648"/>
    <w:rsid w:val="00736A56"/>
    <w:rsid w:val="00737099"/>
    <w:rsid w:val="007402F9"/>
    <w:rsid w:val="007408D5"/>
    <w:rsid w:val="007418CD"/>
    <w:rsid w:val="007420C5"/>
    <w:rsid w:val="00742E25"/>
    <w:rsid w:val="007433CB"/>
    <w:rsid w:val="0074391D"/>
    <w:rsid w:val="0074480F"/>
    <w:rsid w:val="00744A05"/>
    <w:rsid w:val="00745DA8"/>
    <w:rsid w:val="007462EC"/>
    <w:rsid w:val="007469EE"/>
    <w:rsid w:val="0074717E"/>
    <w:rsid w:val="0075044C"/>
    <w:rsid w:val="00750A13"/>
    <w:rsid w:val="00750B69"/>
    <w:rsid w:val="00750C6F"/>
    <w:rsid w:val="00751017"/>
    <w:rsid w:val="007527BD"/>
    <w:rsid w:val="007549C9"/>
    <w:rsid w:val="00755021"/>
    <w:rsid w:val="00756BAF"/>
    <w:rsid w:val="007575A7"/>
    <w:rsid w:val="00757C24"/>
    <w:rsid w:val="00760805"/>
    <w:rsid w:val="0076090A"/>
    <w:rsid w:val="007612DD"/>
    <w:rsid w:val="007626DD"/>
    <w:rsid w:val="00763355"/>
    <w:rsid w:val="00763CAA"/>
    <w:rsid w:val="00763E20"/>
    <w:rsid w:val="00764613"/>
    <w:rsid w:val="0076472D"/>
    <w:rsid w:val="00764D72"/>
    <w:rsid w:val="00764E96"/>
    <w:rsid w:val="0076557D"/>
    <w:rsid w:val="007669A1"/>
    <w:rsid w:val="0076705C"/>
    <w:rsid w:val="00767360"/>
    <w:rsid w:val="007678C3"/>
    <w:rsid w:val="007720DA"/>
    <w:rsid w:val="007726C8"/>
    <w:rsid w:val="00772B88"/>
    <w:rsid w:val="007731FC"/>
    <w:rsid w:val="00773492"/>
    <w:rsid w:val="007734C9"/>
    <w:rsid w:val="00774C31"/>
    <w:rsid w:val="007763C1"/>
    <w:rsid w:val="00776629"/>
    <w:rsid w:val="00776D42"/>
    <w:rsid w:val="00776E8C"/>
    <w:rsid w:val="00777107"/>
    <w:rsid w:val="00777184"/>
    <w:rsid w:val="007772A6"/>
    <w:rsid w:val="00781EE5"/>
    <w:rsid w:val="007822BE"/>
    <w:rsid w:val="00783BBE"/>
    <w:rsid w:val="00784ADD"/>
    <w:rsid w:val="007855EC"/>
    <w:rsid w:val="00785755"/>
    <w:rsid w:val="007866ED"/>
    <w:rsid w:val="00787024"/>
    <w:rsid w:val="00787205"/>
    <w:rsid w:val="00790093"/>
    <w:rsid w:val="007902DA"/>
    <w:rsid w:val="00790D09"/>
    <w:rsid w:val="007915D7"/>
    <w:rsid w:val="0079160E"/>
    <w:rsid w:val="0079191F"/>
    <w:rsid w:val="00793A0A"/>
    <w:rsid w:val="00793B17"/>
    <w:rsid w:val="00794231"/>
    <w:rsid w:val="00795A23"/>
    <w:rsid w:val="00795DA6"/>
    <w:rsid w:val="00795DA9"/>
    <w:rsid w:val="00795F31"/>
    <w:rsid w:val="007967B3"/>
    <w:rsid w:val="007972C6"/>
    <w:rsid w:val="007974DF"/>
    <w:rsid w:val="007A042C"/>
    <w:rsid w:val="007A1398"/>
    <w:rsid w:val="007A19A1"/>
    <w:rsid w:val="007A21DF"/>
    <w:rsid w:val="007A2B1E"/>
    <w:rsid w:val="007A2CD5"/>
    <w:rsid w:val="007A3161"/>
    <w:rsid w:val="007A3B51"/>
    <w:rsid w:val="007A3B55"/>
    <w:rsid w:val="007A50D7"/>
    <w:rsid w:val="007A5F57"/>
    <w:rsid w:val="007A6855"/>
    <w:rsid w:val="007A6FC4"/>
    <w:rsid w:val="007A78A1"/>
    <w:rsid w:val="007A796E"/>
    <w:rsid w:val="007B18DF"/>
    <w:rsid w:val="007B2837"/>
    <w:rsid w:val="007B30F7"/>
    <w:rsid w:val="007B41E5"/>
    <w:rsid w:val="007B5B95"/>
    <w:rsid w:val="007B70B0"/>
    <w:rsid w:val="007B7928"/>
    <w:rsid w:val="007B7EEE"/>
    <w:rsid w:val="007C0273"/>
    <w:rsid w:val="007C0A1C"/>
    <w:rsid w:val="007C1054"/>
    <w:rsid w:val="007C1439"/>
    <w:rsid w:val="007C17A1"/>
    <w:rsid w:val="007C1B5D"/>
    <w:rsid w:val="007C1FFC"/>
    <w:rsid w:val="007C3169"/>
    <w:rsid w:val="007C394B"/>
    <w:rsid w:val="007C3FA7"/>
    <w:rsid w:val="007C44AD"/>
    <w:rsid w:val="007C627E"/>
    <w:rsid w:val="007C693E"/>
    <w:rsid w:val="007C73E9"/>
    <w:rsid w:val="007D04B7"/>
    <w:rsid w:val="007D1498"/>
    <w:rsid w:val="007D247C"/>
    <w:rsid w:val="007D25D4"/>
    <w:rsid w:val="007D303F"/>
    <w:rsid w:val="007D3D6C"/>
    <w:rsid w:val="007D5504"/>
    <w:rsid w:val="007D6276"/>
    <w:rsid w:val="007D7BFA"/>
    <w:rsid w:val="007E094B"/>
    <w:rsid w:val="007E1428"/>
    <w:rsid w:val="007E3BB7"/>
    <w:rsid w:val="007E4832"/>
    <w:rsid w:val="007E4C29"/>
    <w:rsid w:val="007E5307"/>
    <w:rsid w:val="007E5DDF"/>
    <w:rsid w:val="007E7444"/>
    <w:rsid w:val="007E76FB"/>
    <w:rsid w:val="007F1A9B"/>
    <w:rsid w:val="007F2244"/>
    <w:rsid w:val="007F3476"/>
    <w:rsid w:val="007F3F3D"/>
    <w:rsid w:val="007F4FE2"/>
    <w:rsid w:val="007F66B6"/>
    <w:rsid w:val="007F6AE9"/>
    <w:rsid w:val="007F6AF4"/>
    <w:rsid w:val="007F762C"/>
    <w:rsid w:val="007F77DE"/>
    <w:rsid w:val="007F7D43"/>
    <w:rsid w:val="0080150E"/>
    <w:rsid w:val="00801EFB"/>
    <w:rsid w:val="00802E2C"/>
    <w:rsid w:val="00802E54"/>
    <w:rsid w:val="008035B9"/>
    <w:rsid w:val="008035FD"/>
    <w:rsid w:val="008048F6"/>
    <w:rsid w:val="00805A16"/>
    <w:rsid w:val="00805CCF"/>
    <w:rsid w:val="00807633"/>
    <w:rsid w:val="00810DB8"/>
    <w:rsid w:val="00811FE0"/>
    <w:rsid w:val="00814B2D"/>
    <w:rsid w:val="00814B6D"/>
    <w:rsid w:val="008150F9"/>
    <w:rsid w:val="00815766"/>
    <w:rsid w:val="00816445"/>
    <w:rsid w:val="00817AC5"/>
    <w:rsid w:val="00817BC8"/>
    <w:rsid w:val="00817FA8"/>
    <w:rsid w:val="008218B3"/>
    <w:rsid w:val="008243CA"/>
    <w:rsid w:val="00826513"/>
    <w:rsid w:val="008272CD"/>
    <w:rsid w:val="00827591"/>
    <w:rsid w:val="00827BA5"/>
    <w:rsid w:val="00832E3A"/>
    <w:rsid w:val="0083312C"/>
    <w:rsid w:val="00835117"/>
    <w:rsid w:val="00835421"/>
    <w:rsid w:val="008369AC"/>
    <w:rsid w:val="00837EA0"/>
    <w:rsid w:val="008419CD"/>
    <w:rsid w:val="008422F1"/>
    <w:rsid w:val="00842F11"/>
    <w:rsid w:val="00846DD6"/>
    <w:rsid w:val="00847784"/>
    <w:rsid w:val="00847DA2"/>
    <w:rsid w:val="00851171"/>
    <w:rsid w:val="008532AC"/>
    <w:rsid w:val="00853560"/>
    <w:rsid w:val="00853DB6"/>
    <w:rsid w:val="00853ED7"/>
    <w:rsid w:val="008542F8"/>
    <w:rsid w:val="00854DE4"/>
    <w:rsid w:val="008561E8"/>
    <w:rsid w:val="0085734B"/>
    <w:rsid w:val="0085764C"/>
    <w:rsid w:val="008605E8"/>
    <w:rsid w:val="008612C8"/>
    <w:rsid w:val="0086155B"/>
    <w:rsid w:val="00862A71"/>
    <w:rsid w:val="00863AC6"/>
    <w:rsid w:val="00865FC4"/>
    <w:rsid w:val="00866354"/>
    <w:rsid w:val="00866B13"/>
    <w:rsid w:val="00870A0C"/>
    <w:rsid w:val="0087193F"/>
    <w:rsid w:val="00871F1F"/>
    <w:rsid w:val="008727A1"/>
    <w:rsid w:val="008743A0"/>
    <w:rsid w:val="00874CC4"/>
    <w:rsid w:val="0087543C"/>
    <w:rsid w:val="00875AFF"/>
    <w:rsid w:val="00875E22"/>
    <w:rsid w:val="008772A8"/>
    <w:rsid w:val="00877361"/>
    <w:rsid w:val="0088151A"/>
    <w:rsid w:val="00881DF4"/>
    <w:rsid w:val="00882001"/>
    <w:rsid w:val="00882201"/>
    <w:rsid w:val="00882D5F"/>
    <w:rsid w:val="00883B79"/>
    <w:rsid w:val="00884E34"/>
    <w:rsid w:val="00885B63"/>
    <w:rsid w:val="00887451"/>
    <w:rsid w:val="00887723"/>
    <w:rsid w:val="00890ECA"/>
    <w:rsid w:val="00894447"/>
    <w:rsid w:val="0089561C"/>
    <w:rsid w:val="008962E3"/>
    <w:rsid w:val="00896A83"/>
    <w:rsid w:val="00897290"/>
    <w:rsid w:val="00897B41"/>
    <w:rsid w:val="008A0235"/>
    <w:rsid w:val="008A143A"/>
    <w:rsid w:val="008A2F0A"/>
    <w:rsid w:val="008A3869"/>
    <w:rsid w:val="008A4B0C"/>
    <w:rsid w:val="008A5050"/>
    <w:rsid w:val="008A7D3F"/>
    <w:rsid w:val="008B1184"/>
    <w:rsid w:val="008B1547"/>
    <w:rsid w:val="008B24BE"/>
    <w:rsid w:val="008B2741"/>
    <w:rsid w:val="008B36EA"/>
    <w:rsid w:val="008B4435"/>
    <w:rsid w:val="008B472E"/>
    <w:rsid w:val="008B4D90"/>
    <w:rsid w:val="008B5E3A"/>
    <w:rsid w:val="008B6DAC"/>
    <w:rsid w:val="008B6EBF"/>
    <w:rsid w:val="008C0D77"/>
    <w:rsid w:val="008C10A7"/>
    <w:rsid w:val="008C2675"/>
    <w:rsid w:val="008C2B29"/>
    <w:rsid w:val="008C3480"/>
    <w:rsid w:val="008C42C7"/>
    <w:rsid w:val="008C451C"/>
    <w:rsid w:val="008C49C7"/>
    <w:rsid w:val="008C4FE4"/>
    <w:rsid w:val="008C5757"/>
    <w:rsid w:val="008C6350"/>
    <w:rsid w:val="008C7625"/>
    <w:rsid w:val="008C7EA7"/>
    <w:rsid w:val="008D243B"/>
    <w:rsid w:val="008D5864"/>
    <w:rsid w:val="008D5F42"/>
    <w:rsid w:val="008D6546"/>
    <w:rsid w:val="008D7D44"/>
    <w:rsid w:val="008E129C"/>
    <w:rsid w:val="008E1654"/>
    <w:rsid w:val="008E2975"/>
    <w:rsid w:val="008E3954"/>
    <w:rsid w:val="008E41BA"/>
    <w:rsid w:val="008E4985"/>
    <w:rsid w:val="008E4FF8"/>
    <w:rsid w:val="008E5E33"/>
    <w:rsid w:val="008E655D"/>
    <w:rsid w:val="008E702F"/>
    <w:rsid w:val="008E744F"/>
    <w:rsid w:val="008F04E5"/>
    <w:rsid w:val="008F0C87"/>
    <w:rsid w:val="008F0DDE"/>
    <w:rsid w:val="008F253D"/>
    <w:rsid w:val="008F2864"/>
    <w:rsid w:val="008F373D"/>
    <w:rsid w:val="008F4D47"/>
    <w:rsid w:val="008F5044"/>
    <w:rsid w:val="008F750A"/>
    <w:rsid w:val="009002A3"/>
    <w:rsid w:val="00900D83"/>
    <w:rsid w:val="00900F1F"/>
    <w:rsid w:val="00902927"/>
    <w:rsid w:val="00902B86"/>
    <w:rsid w:val="00903224"/>
    <w:rsid w:val="00903EC3"/>
    <w:rsid w:val="00904D48"/>
    <w:rsid w:val="00904E4C"/>
    <w:rsid w:val="0090588E"/>
    <w:rsid w:val="009069D9"/>
    <w:rsid w:val="00906CA9"/>
    <w:rsid w:val="00906CE3"/>
    <w:rsid w:val="00906E44"/>
    <w:rsid w:val="00910BAD"/>
    <w:rsid w:val="00910F9F"/>
    <w:rsid w:val="00911D2D"/>
    <w:rsid w:val="009125A9"/>
    <w:rsid w:val="009130BE"/>
    <w:rsid w:val="00914573"/>
    <w:rsid w:val="00914F5E"/>
    <w:rsid w:val="00915702"/>
    <w:rsid w:val="009157A4"/>
    <w:rsid w:val="00915F82"/>
    <w:rsid w:val="0091705D"/>
    <w:rsid w:val="009200F4"/>
    <w:rsid w:val="00920613"/>
    <w:rsid w:val="00920F44"/>
    <w:rsid w:val="00923920"/>
    <w:rsid w:val="00924266"/>
    <w:rsid w:val="00924BD5"/>
    <w:rsid w:val="00924BFD"/>
    <w:rsid w:val="009251D0"/>
    <w:rsid w:val="00925F8C"/>
    <w:rsid w:val="009277A8"/>
    <w:rsid w:val="00927FCE"/>
    <w:rsid w:val="009304C8"/>
    <w:rsid w:val="009312C9"/>
    <w:rsid w:val="009314C7"/>
    <w:rsid w:val="00931798"/>
    <w:rsid w:val="009321EF"/>
    <w:rsid w:val="009322ED"/>
    <w:rsid w:val="00932CFC"/>
    <w:rsid w:val="0093346D"/>
    <w:rsid w:val="00934C27"/>
    <w:rsid w:val="00935BB4"/>
    <w:rsid w:val="00936D94"/>
    <w:rsid w:val="00940108"/>
    <w:rsid w:val="0094042C"/>
    <w:rsid w:val="00941262"/>
    <w:rsid w:val="0094173C"/>
    <w:rsid w:val="009418A5"/>
    <w:rsid w:val="009426B7"/>
    <w:rsid w:val="00942DF2"/>
    <w:rsid w:val="00942F6B"/>
    <w:rsid w:val="00943046"/>
    <w:rsid w:val="0094407B"/>
    <w:rsid w:val="00944BBB"/>
    <w:rsid w:val="00944FA6"/>
    <w:rsid w:val="00945A40"/>
    <w:rsid w:val="00945DDF"/>
    <w:rsid w:val="00946A83"/>
    <w:rsid w:val="00946AFF"/>
    <w:rsid w:val="009470A1"/>
    <w:rsid w:val="00950B5D"/>
    <w:rsid w:val="00951184"/>
    <w:rsid w:val="00951F9B"/>
    <w:rsid w:val="009536E7"/>
    <w:rsid w:val="00953948"/>
    <w:rsid w:val="0095547B"/>
    <w:rsid w:val="009557EA"/>
    <w:rsid w:val="00955C73"/>
    <w:rsid w:val="00955F52"/>
    <w:rsid w:val="009573C3"/>
    <w:rsid w:val="00957A68"/>
    <w:rsid w:val="009600FF"/>
    <w:rsid w:val="00960454"/>
    <w:rsid w:val="00960A99"/>
    <w:rsid w:val="009611AB"/>
    <w:rsid w:val="0096249D"/>
    <w:rsid w:val="0096332C"/>
    <w:rsid w:val="00964000"/>
    <w:rsid w:val="009640D2"/>
    <w:rsid w:val="0096496D"/>
    <w:rsid w:val="00964E20"/>
    <w:rsid w:val="009652D6"/>
    <w:rsid w:val="009707F9"/>
    <w:rsid w:val="009711E9"/>
    <w:rsid w:val="00971335"/>
    <w:rsid w:val="0097188B"/>
    <w:rsid w:val="00972E3A"/>
    <w:rsid w:val="00973B2C"/>
    <w:rsid w:val="0097411B"/>
    <w:rsid w:val="0097422F"/>
    <w:rsid w:val="00974413"/>
    <w:rsid w:val="00974F9B"/>
    <w:rsid w:val="009755D5"/>
    <w:rsid w:val="00975A24"/>
    <w:rsid w:val="00977711"/>
    <w:rsid w:val="0098056F"/>
    <w:rsid w:val="00981050"/>
    <w:rsid w:val="0098172F"/>
    <w:rsid w:val="00981886"/>
    <w:rsid w:val="00982653"/>
    <w:rsid w:val="00982922"/>
    <w:rsid w:val="00983564"/>
    <w:rsid w:val="0098437E"/>
    <w:rsid w:val="00985517"/>
    <w:rsid w:val="00985B61"/>
    <w:rsid w:val="0098739F"/>
    <w:rsid w:val="00987B33"/>
    <w:rsid w:val="00990808"/>
    <w:rsid w:val="009908B7"/>
    <w:rsid w:val="00990B25"/>
    <w:rsid w:val="0099389C"/>
    <w:rsid w:val="00993BFE"/>
    <w:rsid w:val="0099478F"/>
    <w:rsid w:val="009965A9"/>
    <w:rsid w:val="009A04D9"/>
    <w:rsid w:val="009A0C30"/>
    <w:rsid w:val="009A0DCC"/>
    <w:rsid w:val="009A1EB9"/>
    <w:rsid w:val="009A2063"/>
    <w:rsid w:val="009A254C"/>
    <w:rsid w:val="009A2865"/>
    <w:rsid w:val="009A29E0"/>
    <w:rsid w:val="009A2BC0"/>
    <w:rsid w:val="009A2C5B"/>
    <w:rsid w:val="009A311D"/>
    <w:rsid w:val="009A66E7"/>
    <w:rsid w:val="009A7B67"/>
    <w:rsid w:val="009B0248"/>
    <w:rsid w:val="009B0E42"/>
    <w:rsid w:val="009B17CF"/>
    <w:rsid w:val="009B1995"/>
    <w:rsid w:val="009B2D5C"/>
    <w:rsid w:val="009B38DF"/>
    <w:rsid w:val="009B44EA"/>
    <w:rsid w:val="009B4C4C"/>
    <w:rsid w:val="009B632B"/>
    <w:rsid w:val="009B7EFE"/>
    <w:rsid w:val="009B7FA8"/>
    <w:rsid w:val="009C0963"/>
    <w:rsid w:val="009C1FED"/>
    <w:rsid w:val="009C316E"/>
    <w:rsid w:val="009C4258"/>
    <w:rsid w:val="009C61FB"/>
    <w:rsid w:val="009C6336"/>
    <w:rsid w:val="009C6570"/>
    <w:rsid w:val="009C7D88"/>
    <w:rsid w:val="009C7E1D"/>
    <w:rsid w:val="009D2763"/>
    <w:rsid w:val="009D2B00"/>
    <w:rsid w:val="009D3E62"/>
    <w:rsid w:val="009D56AA"/>
    <w:rsid w:val="009D5EA3"/>
    <w:rsid w:val="009D72D8"/>
    <w:rsid w:val="009E0150"/>
    <w:rsid w:val="009E03A5"/>
    <w:rsid w:val="009E062E"/>
    <w:rsid w:val="009E160B"/>
    <w:rsid w:val="009E1D45"/>
    <w:rsid w:val="009E2178"/>
    <w:rsid w:val="009E3052"/>
    <w:rsid w:val="009E35D8"/>
    <w:rsid w:val="009E37AC"/>
    <w:rsid w:val="009F04BE"/>
    <w:rsid w:val="009F0656"/>
    <w:rsid w:val="009F1A9E"/>
    <w:rsid w:val="009F1B63"/>
    <w:rsid w:val="009F2BE5"/>
    <w:rsid w:val="009F3181"/>
    <w:rsid w:val="009F464C"/>
    <w:rsid w:val="009F6009"/>
    <w:rsid w:val="009F64BE"/>
    <w:rsid w:val="00A0187E"/>
    <w:rsid w:val="00A02D49"/>
    <w:rsid w:val="00A02EC7"/>
    <w:rsid w:val="00A04763"/>
    <w:rsid w:val="00A067DF"/>
    <w:rsid w:val="00A070E4"/>
    <w:rsid w:val="00A070F2"/>
    <w:rsid w:val="00A10329"/>
    <w:rsid w:val="00A10463"/>
    <w:rsid w:val="00A1118F"/>
    <w:rsid w:val="00A1143D"/>
    <w:rsid w:val="00A11CBA"/>
    <w:rsid w:val="00A1317B"/>
    <w:rsid w:val="00A1317C"/>
    <w:rsid w:val="00A13741"/>
    <w:rsid w:val="00A138F0"/>
    <w:rsid w:val="00A139C1"/>
    <w:rsid w:val="00A144E9"/>
    <w:rsid w:val="00A144EE"/>
    <w:rsid w:val="00A148A4"/>
    <w:rsid w:val="00A14B64"/>
    <w:rsid w:val="00A15D66"/>
    <w:rsid w:val="00A16341"/>
    <w:rsid w:val="00A16B2E"/>
    <w:rsid w:val="00A16F20"/>
    <w:rsid w:val="00A1744A"/>
    <w:rsid w:val="00A20742"/>
    <w:rsid w:val="00A20EB5"/>
    <w:rsid w:val="00A21A5A"/>
    <w:rsid w:val="00A23C11"/>
    <w:rsid w:val="00A24218"/>
    <w:rsid w:val="00A24278"/>
    <w:rsid w:val="00A2487C"/>
    <w:rsid w:val="00A24901"/>
    <w:rsid w:val="00A2545D"/>
    <w:rsid w:val="00A258A9"/>
    <w:rsid w:val="00A26596"/>
    <w:rsid w:val="00A265FC"/>
    <w:rsid w:val="00A26847"/>
    <w:rsid w:val="00A31494"/>
    <w:rsid w:val="00A3157B"/>
    <w:rsid w:val="00A31A09"/>
    <w:rsid w:val="00A31F9F"/>
    <w:rsid w:val="00A32192"/>
    <w:rsid w:val="00A322B9"/>
    <w:rsid w:val="00A326EB"/>
    <w:rsid w:val="00A331AF"/>
    <w:rsid w:val="00A35927"/>
    <w:rsid w:val="00A36964"/>
    <w:rsid w:val="00A3786C"/>
    <w:rsid w:val="00A40AF0"/>
    <w:rsid w:val="00A44753"/>
    <w:rsid w:val="00A451DE"/>
    <w:rsid w:val="00A457C5"/>
    <w:rsid w:val="00A45933"/>
    <w:rsid w:val="00A45955"/>
    <w:rsid w:val="00A45B3F"/>
    <w:rsid w:val="00A45FA8"/>
    <w:rsid w:val="00A467F3"/>
    <w:rsid w:val="00A46A56"/>
    <w:rsid w:val="00A46D10"/>
    <w:rsid w:val="00A5027B"/>
    <w:rsid w:val="00A505ED"/>
    <w:rsid w:val="00A50EAC"/>
    <w:rsid w:val="00A51805"/>
    <w:rsid w:val="00A52321"/>
    <w:rsid w:val="00A536FD"/>
    <w:rsid w:val="00A53CF0"/>
    <w:rsid w:val="00A542FC"/>
    <w:rsid w:val="00A54541"/>
    <w:rsid w:val="00A562AE"/>
    <w:rsid w:val="00A5635F"/>
    <w:rsid w:val="00A57342"/>
    <w:rsid w:val="00A632E7"/>
    <w:rsid w:val="00A639BF"/>
    <w:rsid w:val="00A67F71"/>
    <w:rsid w:val="00A67FDB"/>
    <w:rsid w:val="00A70321"/>
    <w:rsid w:val="00A71697"/>
    <w:rsid w:val="00A71979"/>
    <w:rsid w:val="00A71C3D"/>
    <w:rsid w:val="00A73298"/>
    <w:rsid w:val="00A7348F"/>
    <w:rsid w:val="00A736D2"/>
    <w:rsid w:val="00A73758"/>
    <w:rsid w:val="00A74D26"/>
    <w:rsid w:val="00A7595F"/>
    <w:rsid w:val="00A775DE"/>
    <w:rsid w:val="00A77CF2"/>
    <w:rsid w:val="00A80D26"/>
    <w:rsid w:val="00A81D93"/>
    <w:rsid w:val="00A82D41"/>
    <w:rsid w:val="00A8383D"/>
    <w:rsid w:val="00A83E5C"/>
    <w:rsid w:val="00A84EF0"/>
    <w:rsid w:val="00A851D4"/>
    <w:rsid w:val="00A855C1"/>
    <w:rsid w:val="00A856B2"/>
    <w:rsid w:val="00A86BFA"/>
    <w:rsid w:val="00A8769D"/>
    <w:rsid w:val="00A87EA9"/>
    <w:rsid w:val="00A905DE"/>
    <w:rsid w:val="00A9076C"/>
    <w:rsid w:val="00A91B8E"/>
    <w:rsid w:val="00A91CF0"/>
    <w:rsid w:val="00A94461"/>
    <w:rsid w:val="00A9472B"/>
    <w:rsid w:val="00A950ED"/>
    <w:rsid w:val="00A95C54"/>
    <w:rsid w:val="00A968E3"/>
    <w:rsid w:val="00A97C15"/>
    <w:rsid w:val="00AA0184"/>
    <w:rsid w:val="00AA054B"/>
    <w:rsid w:val="00AA0F7D"/>
    <w:rsid w:val="00AA1484"/>
    <w:rsid w:val="00AA1717"/>
    <w:rsid w:val="00AA3898"/>
    <w:rsid w:val="00AA3C95"/>
    <w:rsid w:val="00AA74B1"/>
    <w:rsid w:val="00AA7A50"/>
    <w:rsid w:val="00AA7B69"/>
    <w:rsid w:val="00AB0257"/>
    <w:rsid w:val="00AB0266"/>
    <w:rsid w:val="00AB2B0E"/>
    <w:rsid w:val="00AB3B92"/>
    <w:rsid w:val="00AB4B58"/>
    <w:rsid w:val="00AB51C3"/>
    <w:rsid w:val="00AB558E"/>
    <w:rsid w:val="00AB6CB0"/>
    <w:rsid w:val="00AB71BB"/>
    <w:rsid w:val="00AB75D4"/>
    <w:rsid w:val="00AC0B50"/>
    <w:rsid w:val="00AC0D74"/>
    <w:rsid w:val="00AC14BD"/>
    <w:rsid w:val="00AC212A"/>
    <w:rsid w:val="00AC2248"/>
    <w:rsid w:val="00AC276C"/>
    <w:rsid w:val="00AC2B68"/>
    <w:rsid w:val="00AC321C"/>
    <w:rsid w:val="00AC3C2C"/>
    <w:rsid w:val="00AC4037"/>
    <w:rsid w:val="00AC4133"/>
    <w:rsid w:val="00AC4AA1"/>
    <w:rsid w:val="00AC4C52"/>
    <w:rsid w:val="00AC6542"/>
    <w:rsid w:val="00AC7415"/>
    <w:rsid w:val="00AC7732"/>
    <w:rsid w:val="00AC7E54"/>
    <w:rsid w:val="00AD0EC6"/>
    <w:rsid w:val="00AD1A5D"/>
    <w:rsid w:val="00AD2517"/>
    <w:rsid w:val="00AD2E51"/>
    <w:rsid w:val="00AD3498"/>
    <w:rsid w:val="00AD3BDA"/>
    <w:rsid w:val="00AD3C83"/>
    <w:rsid w:val="00AD45EF"/>
    <w:rsid w:val="00AD500C"/>
    <w:rsid w:val="00AD587C"/>
    <w:rsid w:val="00AD5F82"/>
    <w:rsid w:val="00AD7A14"/>
    <w:rsid w:val="00AE0005"/>
    <w:rsid w:val="00AE03A3"/>
    <w:rsid w:val="00AE0B93"/>
    <w:rsid w:val="00AE186C"/>
    <w:rsid w:val="00AE1947"/>
    <w:rsid w:val="00AE1D90"/>
    <w:rsid w:val="00AE226F"/>
    <w:rsid w:val="00AE2325"/>
    <w:rsid w:val="00AE2F50"/>
    <w:rsid w:val="00AE3AF9"/>
    <w:rsid w:val="00AE5DA8"/>
    <w:rsid w:val="00AE5E5C"/>
    <w:rsid w:val="00AE5F94"/>
    <w:rsid w:val="00AE72B1"/>
    <w:rsid w:val="00AE7DAF"/>
    <w:rsid w:val="00AE7E81"/>
    <w:rsid w:val="00AF0491"/>
    <w:rsid w:val="00AF0718"/>
    <w:rsid w:val="00AF0CC8"/>
    <w:rsid w:val="00AF16EC"/>
    <w:rsid w:val="00AF1EF1"/>
    <w:rsid w:val="00AF23B1"/>
    <w:rsid w:val="00AF2CF5"/>
    <w:rsid w:val="00AF3582"/>
    <w:rsid w:val="00AF377F"/>
    <w:rsid w:val="00AF39A9"/>
    <w:rsid w:val="00AF3C27"/>
    <w:rsid w:val="00AF5377"/>
    <w:rsid w:val="00AF61AA"/>
    <w:rsid w:val="00AF64F5"/>
    <w:rsid w:val="00AF666D"/>
    <w:rsid w:val="00B00410"/>
    <w:rsid w:val="00B0195C"/>
    <w:rsid w:val="00B036B0"/>
    <w:rsid w:val="00B049DB"/>
    <w:rsid w:val="00B0551C"/>
    <w:rsid w:val="00B059DD"/>
    <w:rsid w:val="00B07B1E"/>
    <w:rsid w:val="00B07C55"/>
    <w:rsid w:val="00B1185F"/>
    <w:rsid w:val="00B1188D"/>
    <w:rsid w:val="00B11C16"/>
    <w:rsid w:val="00B120A1"/>
    <w:rsid w:val="00B1230C"/>
    <w:rsid w:val="00B128DD"/>
    <w:rsid w:val="00B167FA"/>
    <w:rsid w:val="00B21964"/>
    <w:rsid w:val="00B22ABB"/>
    <w:rsid w:val="00B23084"/>
    <w:rsid w:val="00B24BA7"/>
    <w:rsid w:val="00B252C5"/>
    <w:rsid w:val="00B253F5"/>
    <w:rsid w:val="00B256EE"/>
    <w:rsid w:val="00B25F8D"/>
    <w:rsid w:val="00B262BE"/>
    <w:rsid w:val="00B26A2D"/>
    <w:rsid w:val="00B27D77"/>
    <w:rsid w:val="00B30D4F"/>
    <w:rsid w:val="00B31630"/>
    <w:rsid w:val="00B32944"/>
    <w:rsid w:val="00B32D7C"/>
    <w:rsid w:val="00B33141"/>
    <w:rsid w:val="00B33E4B"/>
    <w:rsid w:val="00B33F24"/>
    <w:rsid w:val="00B366FD"/>
    <w:rsid w:val="00B4015F"/>
    <w:rsid w:val="00B4017F"/>
    <w:rsid w:val="00B41D48"/>
    <w:rsid w:val="00B42589"/>
    <w:rsid w:val="00B42C0F"/>
    <w:rsid w:val="00B44523"/>
    <w:rsid w:val="00B45306"/>
    <w:rsid w:val="00B47B18"/>
    <w:rsid w:val="00B47BFB"/>
    <w:rsid w:val="00B47FDF"/>
    <w:rsid w:val="00B50C1A"/>
    <w:rsid w:val="00B52C24"/>
    <w:rsid w:val="00B537B2"/>
    <w:rsid w:val="00B542D6"/>
    <w:rsid w:val="00B54E29"/>
    <w:rsid w:val="00B55068"/>
    <w:rsid w:val="00B56C0B"/>
    <w:rsid w:val="00B6022E"/>
    <w:rsid w:val="00B60702"/>
    <w:rsid w:val="00B60781"/>
    <w:rsid w:val="00B6141B"/>
    <w:rsid w:val="00B61546"/>
    <w:rsid w:val="00B61A63"/>
    <w:rsid w:val="00B62064"/>
    <w:rsid w:val="00B623DD"/>
    <w:rsid w:val="00B632C2"/>
    <w:rsid w:val="00B634C5"/>
    <w:rsid w:val="00B634D8"/>
    <w:rsid w:val="00B63F11"/>
    <w:rsid w:val="00B6484C"/>
    <w:rsid w:val="00B64A1B"/>
    <w:rsid w:val="00B64A71"/>
    <w:rsid w:val="00B66377"/>
    <w:rsid w:val="00B66EF1"/>
    <w:rsid w:val="00B7159E"/>
    <w:rsid w:val="00B722F0"/>
    <w:rsid w:val="00B72848"/>
    <w:rsid w:val="00B73C77"/>
    <w:rsid w:val="00B74069"/>
    <w:rsid w:val="00B744FE"/>
    <w:rsid w:val="00B76327"/>
    <w:rsid w:val="00B76DD1"/>
    <w:rsid w:val="00B77E7B"/>
    <w:rsid w:val="00B8014F"/>
    <w:rsid w:val="00B80D57"/>
    <w:rsid w:val="00B80DB2"/>
    <w:rsid w:val="00B81CCB"/>
    <w:rsid w:val="00B82435"/>
    <w:rsid w:val="00B82DF6"/>
    <w:rsid w:val="00B8436D"/>
    <w:rsid w:val="00B85B18"/>
    <w:rsid w:val="00B8665A"/>
    <w:rsid w:val="00B86CFC"/>
    <w:rsid w:val="00B904C3"/>
    <w:rsid w:val="00B90701"/>
    <w:rsid w:val="00B91CCA"/>
    <w:rsid w:val="00B92FC7"/>
    <w:rsid w:val="00B93267"/>
    <w:rsid w:val="00B938A8"/>
    <w:rsid w:val="00B95CF8"/>
    <w:rsid w:val="00B95E79"/>
    <w:rsid w:val="00B965E1"/>
    <w:rsid w:val="00B966A6"/>
    <w:rsid w:val="00B96EB7"/>
    <w:rsid w:val="00B97107"/>
    <w:rsid w:val="00B975C1"/>
    <w:rsid w:val="00BA09DB"/>
    <w:rsid w:val="00BA0A6E"/>
    <w:rsid w:val="00BA15E8"/>
    <w:rsid w:val="00BA2F44"/>
    <w:rsid w:val="00BA3860"/>
    <w:rsid w:val="00BA401D"/>
    <w:rsid w:val="00BA5033"/>
    <w:rsid w:val="00BA511B"/>
    <w:rsid w:val="00BA567E"/>
    <w:rsid w:val="00BA6761"/>
    <w:rsid w:val="00BA6861"/>
    <w:rsid w:val="00BA798A"/>
    <w:rsid w:val="00BA7B86"/>
    <w:rsid w:val="00BB09DA"/>
    <w:rsid w:val="00BB0FE8"/>
    <w:rsid w:val="00BB1486"/>
    <w:rsid w:val="00BB2509"/>
    <w:rsid w:val="00BB28AC"/>
    <w:rsid w:val="00BB39BE"/>
    <w:rsid w:val="00BB3C67"/>
    <w:rsid w:val="00BB4511"/>
    <w:rsid w:val="00BB690E"/>
    <w:rsid w:val="00BB6ADB"/>
    <w:rsid w:val="00BB719F"/>
    <w:rsid w:val="00BB76AE"/>
    <w:rsid w:val="00BB7AD4"/>
    <w:rsid w:val="00BB7BAA"/>
    <w:rsid w:val="00BB7BC1"/>
    <w:rsid w:val="00BB7F13"/>
    <w:rsid w:val="00BC0815"/>
    <w:rsid w:val="00BC1F2A"/>
    <w:rsid w:val="00BC310B"/>
    <w:rsid w:val="00BC3728"/>
    <w:rsid w:val="00BC3C70"/>
    <w:rsid w:val="00BC4562"/>
    <w:rsid w:val="00BC4ECA"/>
    <w:rsid w:val="00BC5A7F"/>
    <w:rsid w:val="00BD046D"/>
    <w:rsid w:val="00BD0DCB"/>
    <w:rsid w:val="00BD0DDE"/>
    <w:rsid w:val="00BD3BEB"/>
    <w:rsid w:val="00BD4678"/>
    <w:rsid w:val="00BD6688"/>
    <w:rsid w:val="00BD7F77"/>
    <w:rsid w:val="00BE02E8"/>
    <w:rsid w:val="00BE0A50"/>
    <w:rsid w:val="00BE37E0"/>
    <w:rsid w:val="00BE3BBB"/>
    <w:rsid w:val="00BE409A"/>
    <w:rsid w:val="00BE4321"/>
    <w:rsid w:val="00BE4573"/>
    <w:rsid w:val="00BE4F3B"/>
    <w:rsid w:val="00BE5C5C"/>
    <w:rsid w:val="00BE6C84"/>
    <w:rsid w:val="00BE75EA"/>
    <w:rsid w:val="00BF12A9"/>
    <w:rsid w:val="00BF2A1D"/>
    <w:rsid w:val="00BF2A88"/>
    <w:rsid w:val="00BF2FFC"/>
    <w:rsid w:val="00BF3377"/>
    <w:rsid w:val="00BF3C40"/>
    <w:rsid w:val="00BF6093"/>
    <w:rsid w:val="00BF7019"/>
    <w:rsid w:val="00BF7041"/>
    <w:rsid w:val="00C00B51"/>
    <w:rsid w:val="00C01BEB"/>
    <w:rsid w:val="00C02D1A"/>
    <w:rsid w:val="00C037DF"/>
    <w:rsid w:val="00C03D30"/>
    <w:rsid w:val="00C040E3"/>
    <w:rsid w:val="00C046C0"/>
    <w:rsid w:val="00C05732"/>
    <w:rsid w:val="00C05DBD"/>
    <w:rsid w:val="00C068F2"/>
    <w:rsid w:val="00C0691B"/>
    <w:rsid w:val="00C06AA8"/>
    <w:rsid w:val="00C06DFD"/>
    <w:rsid w:val="00C06F1F"/>
    <w:rsid w:val="00C1106E"/>
    <w:rsid w:val="00C1115F"/>
    <w:rsid w:val="00C12394"/>
    <w:rsid w:val="00C127C1"/>
    <w:rsid w:val="00C12EE3"/>
    <w:rsid w:val="00C13735"/>
    <w:rsid w:val="00C13980"/>
    <w:rsid w:val="00C14606"/>
    <w:rsid w:val="00C152A6"/>
    <w:rsid w:val="00C16939"/>
    <w:rsid w:val="00C17343"/>
    <w:rsid w:val="00C20539"/>
    <w:rsid w:val="00C20639"/>
    <w:rsid w:val="00C270CC"/>
    <w:rsid w:val="00C27460"/>
    <w:rsid w:val="00C274DC"/>
    <w:rsid w:val="00C27727"/>
    <w:rsid w:val="00C277F9"/>
    <w:rsid w:val="00C30C40"/>
    <w:rsid w:val="00C3306C"/>
    <w:rsid w:val="00C33110"/>
    <w:rsid w:val="00C3333D"/>
    <w:rsid w:val="00C33744"/>
    <w:rsid w:val="00C34167"/>
    <w:rsid w:val="00C34AB6"/>
    <w:rsid w:val="00C34D7C"/>
    <w:rsid w:val="00C36F8B"/>
    <w:rsid w:val="00C44C15"/>
    <w:rsid w:val="00C4621D"/>
    <w:rsid w:val="00C47D98"/>
    <w:rsid w:val="00C47E53"/>
    <w:rsid w:val="00C50730"/>
    <w:rsid w:val="00C51844"/>
    <w:rsid w:val="00C522BB"/>
    <w:rsid w:val="00C53E44"/>
    <w:rsid w:val="00C544F6"/>
    <w:rsid w:val="00C546EE"/>
    <w:rsid w:val="00C54F11"/>
    <w:rsid w:val="00C55797"/>
    <w:rsid w:val="00C55D2A"/>
    <w:rsid w:val="00C57599"/>
    <w:rsid w:val="00C57DC1"/>
    <w:rsid w:val="00C60B23"/>
    <w:rsid w:val="00C61F94"/>
    <w:rsid w:val="00C636B9"/>
    <w:rsid w:val="00C638D5"/>
    <w:rsid w:val="00C643D6"/>
    <w:rsid w:val="00C64931"/>
    <w:rsid w:val="00C665A4"/>
    <w:rsid w:val="00C70291"/>
    <w:rsid w:val="00C70A8B"/>
    <w:rsid w:val="00C71443"/>
    <w:rsid w:val="00C71CC4"/>
    <w:rsid w:val="00C7205E"/>
    <w:rsid w:val="00C72366"/>
    <w:rsid w:val="00C72930"/>
    <w:rsid w:val="00C72C00"/>
    <w:rsid w:val="00C7365E"/>
    <w:rsid w:val="00C7558D"/>
    <w:rsid w:val="00C75F38"/>
    <w:rsid w:val="00C77609"/>
    <w:rsid w:val="00C77C7E"/>
    <w:rsid w:val="00C8062A"/>
    <w:rsid w:val="00C84F39"/>
    <w:rsid w:val="00C857B5"/>
    <w:rsid w:val="00C85855"/>
    <w:rsid w:val="00C86510"/>
    <w:rsid w:val="00C87519"/>
    <w:rsid w:val="00C875B5"/>
    <w:rsid w:val="00C87AFC"/>
    <w:rsid w:val="00C907D8"/>
    <w:rsid w:val="00C90806"/>
    <w:rsid w:val="00C92E55"/>
    <w:rsid w:val="00C92E85"/>
    <w:rsid w:val="00C9388A"/>
    <w:rsid w:val="00C94198"/>
    <w:rsid w:val="00C9443C"/>
    <w:rsid w:val="00C961AF"/>
    <w:rsid w:val="00C96335"/>
    <w:rsid w:val="00C963BE"/>
    <w:rsid w:val="00C965BA"/>
    <w:rsid w:val="00CA2A58"/>
    <w:rsid w:val="00CA4400"/>
    <w:rsid w:val="00CA4EF0"/>
    <w:rsid w:val="00CA597B"/>
    <w:rsid w:val="00CA6B1D"/>
    <w:rsid w:val="00CA6F8F"/>
    <w:rsid w:val="00CA7363"/>
    <w:rsid w:val="00CB061F"/>
    <w:rsid w:val="00CB0854"/>
    <w:rsid w:val="00CB1AC9"/>
    <w:rsid w:val="00CB216E"/>
    <w:rsid w:val="00CB2422"/>
    <w:rsid w:val="00CB260F"/>
    <w:rsid w:val="00CB3170"/>
    <w:rsid w:val="00CB44C0"/>
    <w:rsid w:val="00CB455B"/>
    <w:rsid w:val="00CB4EC9"/>
    <w:rsid w:val="00CB519F"/>
    <w:rsid w:val="00CB6BA5"/>
    <w:rsid w:val="00CB6EBB"/>
    <w:rsid w:val="00CB786B"/>
    <w:rsid w:val="00CC19D4"/>
    <w:rsid w:val="00CC1E53"/>
    <w:rsid w:val="00CC2E16"/>
    <w:rsid w:val="00CC3E90"/>
    <w:rsid w:val="00CC706C"/>
    <w:rsid w:val="00CC7D21"/>
    <w:rsid w:val="00CD0377"/>
    <w:rsid w:val="00CD08D1"/>
    <w:rsid w:val="00CD0B30"/>
    <w:rsid w:val="00CD2F8A"/>
    <w:rsid w:val="00CD385C"/>
    <w:rsid w:val="00CD42FF"/>
    <w:rsid w:val="00CD570E"/>
    <w:rsid w:val="00CD61CF"/>
    <w:rsid w:val="00CD637C"/>
    <w:rsid w:val="00CD6AE1"/>
    <w:rsid w:val="00CD7B31"/>
    <w:rsid w:val="00CD7EA0"/>
    <w:rsid w:val="00CE36D6"/>
    <w:rsid w:val="00CE54EA"/>
    <w:rsid w:val="00CE58B4"/>
    <w:rsid w:val="00CE669A"/>
    <w:rsid w:val="00CF037F"/>
    <w:rsid w:val="00CF0CE1"/>
    <w:rsid w:val="00CF17F6"/>
    <w:rsid w:val="00CF183C"/>
    <w:rsid w:val="00CF55D5"/>
    <w:rsid w:val="00CF5B49"/>
    <w:rsid w:val="00CF6465"/>
    <w:rsid w:val="00CF68BD"/>
    <w:rsid w:val="00CF6C03"/>
    <w:rsid w:val="00D00E3E"/>
    <w:rsid w:val="00D01FD3"/>
    <w:rsid w:val="00D0395F"/>
    <w:rsid w:val="00D03D6A"/>
    <w:rsid w:val="00D063AB"/>
    <w:rsid w:val="00D06864"/>
    <w:rsid w:val="00D069D9"/>
    <w:rsid w:val="00D06B36"/>
    <w:rsid w:val="00D103B6"/>
    <w:rsid w:val="00D10706"/>
    <w:rsid w:val="00D11C86"/>
    <w:rsid w:val="00D128FD"/>
    <w:rsid w:val="00D12B3A"/>
    <w:rsid w:val="00D14494"/>
    <w:rsid w:val="00D14A5E"/>
    <w:rsid w:val="00D162B8"/>
    <w:rsid w:val="00D16971"/>
    <w:rsid w:val="00D17BFD"/>
    <w:rsid w:val="00D202AD"/>
    <w:rsid w:val="00D208A8"/>
    <w:rsid w:val="00D2095C"/>
    <w:rsid w:val="00D21778"/>
    <w:rsid w:val="00D22136"/>
    <w:rsid w:val="00D2356F"/>
    <w:rsid w:val="00D23E1A"/>
    <w:rsid w:val="00D24FE5"/>
    <w:rsid w:val="00D27F40"/>
    <w:rsid w:val="00D30604"/>
    <w:rsid w:val="00D30E85"/>
    <w:rsid w:val="00D31BC7"/>
    <w:rsid w:val="00D31C1A"/>
    <w:rsid w:val="00D32D74"/>
    <w:rsid w:val="00D34007"/>
    <w:rsid w:val="00D34472"/>
    <w:rsid w:val="00D34F96"/>
    <w:rsid w:val="00D35150"/>
    <w:rsid w:val="00D36ABB"/>
    <w:rsid w:val="00D36EED"/>
    <w:rsid w:val="00D37B44"/>
    <w:rsid w:val="00D40241"/>
    <w:rsid w:val="00D402E9"/>
    <w:rsid w:val="00D41118"/>
    <w:rsid w:val="00D41189"/>
    <w:rsid w:val="00D41795"/>
    <w:rsid w:val="00D41963"/>
    <w:rsid w:val="00D42028"/>
    <w:rsid w:val="00D44939"/>
    <w:rsid w:val="00D4728B"/>
    <w:rsid w:val="00D47407"/>
    <w:rsid w:val="00D50838"/>
    <w:rsid w:val="00D50C97"/>
    <w:rsid w:val="00D50EFF"/>
    <w:rsid w:val="00D5182E"/>
    <w:rsid w:val="00D5338F"/>
    <w:rsid w:val="00D538C1"/>
    <w:rsid w:val="00D54BF0"/>
    <w:rsid w:val="00D55B08"/>
    <w:rsid w:val="00D56CE8"/>
    <w:rsid w:val="00D57216"/>
    <w:rsid w:val="00D57A53"/>
    <w:rsid w:val="00D57EA6"/>
    <w:rsid w:val="00D60295"/>
    <w:rsid w:val="00D6182A"/>
    <w:rsid w:val="00D61BA2"/>
    <w:rsid w:val="00D61F19"/>
    <w:rsid w:val="00D6227A"/>
    <w:rsid w:val="00D62F21"/>
    <w:rsid w:val="00D6349E"/>
    <w:rsid w:val="00D65B1B"/>
    <w:rsid w:val="00D65B37"/>
    <w:rsid w:val="00D65E2A"/>
    <w:rsid w:val="00D6653D"/>
    <w:rsid w:val="00D66DE8"/>
    <w:rsid w:val="00D67104"/>
    <w:rsid w:val="00D6749B"/>
    <w:rsid w:val="00D67C52"/>
    <w:rsid w:val="00D67E22"/>
    <w:rsid w:val="00D71157"/>
    <w:rsid w:val="00D726B4"/>
    <w:rsid w:val="00D727AD"/>
    <w:rsid w:val="00D73C87"/>
    <w:rsid w:val="00D7409E"/>
    <w:rsid w:val="00D74734"/>
    <w:rsid w:val="00D75572"/>
    <w:rsid w:val="00D774E7"/>
    <w:rsid w:val="00D80C1C"/>
    <w:rsid w:val="00D8182A"/>
    <w:rsid w:val="00D82267"/>
    <w:rsid w:val="00D8236D"/>
    <w:rsid w:val="00D82855"/>
    <w:rsid w:val="00D86523"/>
    <w:rsid w:val="00D8696B"/>
    <w:rsid w:val="00D87020"/>
    <w:rsid w:val="00D872E7"/>
    <w:rsid w:val="00D904DE"/>
    <w:rsid w:val="00D90782"/>
    <w:rsid w:val="00D92335"/>
    <w:rsid w:val="00D92F31"/>
    <w:rsid w:val="00D94442"/>
    <w:rsid w:val="00D949CB"/>
    <w:rsid w:val="00D94AF1"/>
    <w:rsid w:val="00D94B49"/>
    <w:rsid w:val="00D95379"/>
    <w:rsid w:val="00D954C3"/>
    <w:rsid w:val="00D95E08"/>
    <w:rsid w:val="00D96020"/>
    <w:rsid w:val="00D96037"/>
    <w:rsid w:val="00D96FDE"/>
    <w:rsid w:val="00D9756C"/>
    <w:rsid w:val="00DA0020"/>
    <w:rsid w:val="00DA07FD"/>
    <w:rsid w:val="00DA34F2"/>
    <w:rsid w:val="00DA378C"/>
    <w:rsid w:val="00DA416D"/>
    <w:rsid w:val="00DA512B"/>
    <w:rsid w:val="00DA55E1"/>
    <w:rsid w:val="00DA67C9"/>
    <w:rsid w:val="00DB0DAC"/>
    <w:rsid w:val="00DB1308"/>
    <w:rsid w:val="00DB15CA"/>
    <w:rsid w:val="00DB27BD"/>
    <w:rsid w:val="00DB3280"/>
    <w:rsid w:val="00DB39D1"/>
    <w:rsid w:val="00DB459B"/>
    <w:rsid w:val="00DB4A2A"/>
    <w:rsid w:val="00DB54E8"/>
    <w:rsid w:val="00DB575F"/>
    <w:rsid w:val="00DB5A43"/>
    <w:rsid w:val="00DB64CF"/>
    <w:rsid w:val="00DB6B11"/>
    <w:rsid w:val="00DC0CE5"/>
    <w:rsid w:val="00DC1310"/>
    <w:rsid w:val="00DC1D92"/>
    <w:rsid w:val="00DC39A2"/>
    <w:rsid w:val="00DC3B99"/>
    <w:rsid w:val="00DC3F14"/>
    <w:rsid w:val="00DC440B"/>
    <w:rsid w:val="00DC5512"/>
    <w:rsid w:val="00DC7298"/>
    <w:rsid w:val="00DC77A1"/>
    <w:rsid w:val="00DD0409"/>
    <w:rsid w:val="00DD0EEE"/>
    <w:rsid w:val="00DD28AA"/>
    <w:rsid w:val="00DD382B"/>
    <w:rsid w:val="00DD3943"/>
    <w:rsid w:val="00DD4FC5"/>
    <w:rsid w:val="00DD510A"/>
    <w:rsid w:val="00DE0F8D"/>
    <w:rsid w:val="00DE1028"/>
    <w:rsid w:val="00DE11A7"/>
    <w:rsid w:val="00DE1623"/>
    <w:rsid w:val="00DE3004"/>
    <w:rsid w:val="00DE4201"/>
    <w:rsid w:val="00DE4713"/>
    <w:rsid w:val="00DE57E0"/>
    <w:rsid w:val="00DE657C"/>
    <w:rsid w:val="00DE6867"/>
    <w:rsid w:val="00DE7604"/>
    <w:rsid w:val="00DE7B1F"/>
    <w:rsid w:val="00DF043D"/>
    <w:rsid w:val="00DF14CE"/>
    <w:rsid w:val="00DF1740"/>
    <w:rsid w:val="00DF2235"/>
    <w:rsid w:val="00DF28CF"/>
    <w:rsid w:val="00DF2B5D"/>
    <w:rsid w:val="00DF3126"/>
    <w:rsid w:val="00DF3D76"/>
    <w:rsid w:val="00DF3E51"/>
    <w:rsid w:val="00DF5CF3"/>
    <w:rsid w:val="00DF76E7"/>
    <w:rsid w:val="00E00389"/>
    <w:rsid w:val="00E0159E"/>
    <w:rsid w:val="00E01946"/>
    <w:rsid w:val="00E01B55"/>
    <w:rsid w:val="00E01B9E"/>
    <w:rsid w:val="00E02A2E"/>
    <w:rsid w:val="00E04C4C"/>
    <w:rsid w:val="00E06799"/>
    <w:rsid w:val="00E11A4F"/>
    <w:rsid w:val="00E126A5"/>
    <w:rsid w:val="00E12806"/>
    <w:rsid w:val="00E12D47"/>
    <w:rsid w:val="00E13088"/>
    <w:rsid w:val="00E132AD"/>
    <w:rsid w:val="00E137AC"/>
    <w:rsid w:val="00E13EFE"/>
    <w:rsid w:val="00E14621"/>
    <w:rsid w:val="00E154E1"/>
    <w:rsid w:val="00E16B41"/>
    <w:rsid w:val="00E17813"/>
    <w:rsid w:val="00E208E0"/>
    <w:rsid w:val="00E20DEB"/>
    <w:rsid w:val="00E227DA"/>
    <w:rsid w:val="00E22D14"/>
    <w:rsid w:val="00E22FA2"/>
    <w:rsid w:val="00E23CBB"/>
    <w:rsid w:val="00E25AEC"/>
    <w:rsid w:val="00E26952"/>
    <w:rsid w:val="00E27118"/>
    <w:rsid w:val="00E3001F"/>
    <w:rsid w:val="00E3025E"/>
    <w:rsid w:val="00E31950"/>
    <w:rsid w:val="00E31FBB"/>
    <w:rsid w:val="00E3218D"/>
    <w:rsid w:val="00E324B9"/>
    <w:rsid w:val="00E3280D"/>
    <w:rsid w:val="00E32B01"/>
    <w:rsid w:val="00E34FDF"/>
    <w:rsid w:val="00E35053"/>
    <w:rsid w:val="00E35A64"/>
    <w:rsid w:val="00E37B90"/>
    <w:rsid w:val="00E4075F"/>
    <w:rsid w:val="00E416FF"/>
    <w:rsid w:val="00E4197D"/>
    <w:rsid w:val="00E42BBC"/>
    <w:rsid w:val="00E4313B"/>
    <w:rsid w:val="00E431BA"/>
    <w:rsid w:val="00E433E1"/>
    <w:rsid w:val="00E43567"/>
    <w:rsid w:val="00E44292"/>
    <w:rsid w:val="00E46414"/>
    <w:rsid w:val="00E46D04"/>
    <w:rsid w:val="00E4796E"/>
    <w:rsid w:val="00E50D31"/>
    <w:rsid w:val="00E5131D"/>
    <w:rsid w:val="00E5260F"/>
    <w:rsid w:val="00E541BD"/>
    <w:rsid w:val="00E54E2E"/>
    <w:rsid w:val="00E5562E"/>
    <w:rsid w:val="00E556D0"/>
    <w:rsid w:val="00E557E9"/>
    <w:rsid w:val="00E5599F"/>
    <w:rsid w:val="00E56212"/>
    <w:rsid w:val="00E56C58"/>
    <w:rsid w:val="00E57233"/>
    <w:rsid w:val="00E577A9"/>
    <w:rsid w:val="00E57A11"/>
    <w:rsid w:val="00E57C67"/>
    <w:rsid w:val="00E603A0"/>
    <w:rsid w:val="00E60F14"/>
    <w:rsid w:val="00E61527"/>
    <w:rsid w:val="00E61CB6"/>
    <w:rsid w:val="00E61FED"/>
    <w:rsid w:val="00E62AB4"/>
    <w:rsid w:val="00E630BD"/>
    <w:rsid w:val="00E64755"/>
    <w:rsid w:val="00E64CA3"/>
    <w:rsid w:val="00E6577F"/>
    <w:rsid w:val="00E65CDC"/>
    <w:rsid w:val="00E65D52"/>
    <w:rsid w:val="00E66B12"/>
    <w:rsid w:val="00E67B8A"/>
    <w:rsid w:val="00E70B9E"/>
    <w:rsid w:val="00E71845"/>
    <w:rsid w:val="00E72185"/>
    <w:rsid w:val="00E73288"/>
    <w:rsid w:val="00E741D9"/>
    <w:rsid w:val="00E75B98"/>
    <w:rsid w:val="00E75FE0"/>
    <w:rsid w:val="00E777C1"/>
    <w:rsid w:val="00E777EE"/>
    <w:rsid w:val="00E77EB6"/>
    <w:rsid w:val="00E80E4F"/>
    <w:rsid w:val="00E81C5D"/>
    <w:rsid w:val="00E84CE5"/>
    <w:rsid w:val="00E8714A"/>
    <w:rsid w:val="00E87C79"/>
    <w:rsid w:val="00E90102"/>
    <w:rsid w:val="00E914DF"/>
    <w:rsid w:val="00E917FA"/>
    <w:rsid w:val="00E9321B"/>
    <w:rsid w:val="00E96EF1"/>
    <w:rsid w:val="00E9792C"/>
    <w:rsid w:val="00EA0BF5"/>
    <w:rsid w:val="00EA0EF9"/>
    <w:rsid w:val="00EA1777"/>
    <w:rsid w:val="00EA4A71"/>
    <w:rsid w:val="00EA67B6"/>
    <w:rsid w:val="00EA6A70"/>
    <w:rsid w:val="00EA76E1"/>
    <w:rsid w:val="00EB037A"/>
    <w:rsid w:val="00EB2075"/>
    <w:rsid w:val="00EB217B"/>
    <w:rsid w:val="00EB4094"/>
    <w:rsid w:val="00EB4A12"/>
    <w:rsid w:val="00EB4AC1"/>
    <w:rsid w:val="00EB5864"/>
    <w:rsid w:val="00EB696A"/>
    <w:rsid w:val="00EB76BB"/>
    <w:rsid w:val="00EB7BDD"/>
    <w:rsid w:val="00EC0A36"/>
    <w:rsid w:val="00EC2A5F"/>
    <w:rsid w:val="00EC3622"/>
    <w:rsid w:val="00EC4FAB"/>
    <w:rsid w:val="00EC5099"/>
    <w:rsid w:val="00EC7159"/>
    <w:rsid w:val="00EC7936"/>
    <w:rsid w:val="00EC7A56"/>
    <w:rsid w:val="00EC7A6C"/>
    <w:rsid w:val="00ED28CB"/>
    <w:rsid w:val="00ED2B04"/>
    <w:rsid w:val="00ED33BE"/>
    <w:rsid w:val="00ED3941"/>
    <w:rsid w:val="00ED4D35"/>
    <w:rsid w:val="00ED5655"/>
    <w:rsid w:val="00ED58AF"/>
    <w:rsid w:val="00ED77CA"/>
    <w:rsid w:val="00ED7EDB"/>
    <w:rsid w:val="00EE041E"/>
    <w:rsid w:val="00EE07F6"/>
    <w:rsid w:val="00EE0F97"/>
    <w:rsid w:val="00EE1DCB"/>
    <w:rsid w:val="00EE2193"/>
    <w:rsid w:val="00EE259D"/>
    <w:rsid w:val="00EE3648"/>
    <w:rsid w:val="00EE3716"/>
    <w:rsid w:val="00EE3CDE"/>
    <w:rsid w:val="00EE3DAC"/>
    <w:rsid w:val="00EE490E"/>
    <w:rsid w:val="00EE5106"/>
    <w:rsid w:val="00EE5BA2"/>
    <w:rsid w:val="00EE5EE9"/>
    <w:rsid w:val="00EE64F1"/>
    <w:rsid w:val="00EE6AE5"/>
    <w:rsid w:val="00EE7F08"/>
    <w:rsid w:val="00EF1039"/>
    <w:rsid w:val="00EF1CB9"/>
    <w:rsid w:val="00EF287D"/>
    <w:rsid w:val="00EF3FAF"/>
    <w:rsid w:val="00EF4D40"/>
    <w:rsid w:val="00EF52D7"/>
    <w:rsid w:val="00EF5F4D"/>
    <w:rsid w:val="00EF63EF"/>
    <w:rsid w:val="00EF6BA5"/>
    <w:rsid w:val="00EF6F38"/>
    <w:rsid w:val="00EF771E"/>
    <w:rsid w:val="00F00749"/>
    <w:rsid w:val="00F015CE"/>
    <w:rsid w:val="00F0279E"/>
    <w:rsid w:val="00F05191"/>
    <w:rsid w:val="00F068AA"/>
    <w:rsid w:val="00F072CD"/>
    <w:rsid w:val="00F106BC"/>
    <w:rsid w:val="00F108A4"/>
    <w:rsid w:val="00F10D50"/>
    <w:rsid w:val="00F10E2D"/>
    <w:rsid w:val="00F123ED"/>
    <w:rsid w:val="00F12630"/>
    <w:rsid w:val="00F141B7"/>
    <w:rsid w:val="00F142CB"/>
    <w:rsid w:val="00F143A9"/>
    <w:rsid w:val="00F14FE8"/>
    <w:rsid w:val="00F15317"/>
    <w:rsid w:val="00F16567"/>
    <w:rsid w:val="00F16EFB"/>
    <w:rsid w:val="00F17474"/>
    <w:rsid w:val="00F176DA"/>
    <w:rsid w:val="00F20422"/>
    <w:rsid w:val="00F21C42"/>
    <w:rsid w:val="00F21C4A"/>
    <w:rsid w:val="00F230A4"/>
    <w:rsid w:val="00F24A17"/>
    <w:rsid w:val="00F25628"/>
    <w:rsid w:val="00F26663"/>
    <w:rsid w:val="00F26E1D"/>
    <w:rsid w:val="00F273B3"/>
    <w:rsid w:val="00F3045A"/>
    <w:rsid w:val="00F30739"/>
    <w:rsid w:val="00F3085A"/>
    <w:rsid w:val="00F30CAD"/>
    <w:rsid w:val="00F31826"/>
    <w:rsid w:val="00F32922"/>
    <w:rsid w:val="00F32C5B"/>
    <w:rsid w:val="00F32E60"/>
    <w:rsid w:val="00F348B2"/>
    <w:rsid w:val="00F36848"/>
    <w:rsid w:val="00F36C2C"/>
    <w:rsid w:val="00F3775F"/>
    <w:rsid w:val="00F37C4F"/>
    <w:rsid w:val="00F37EF1"/>
    <w:rsid w:val="00F40301"/>
    <w:rsid w:val="00F41BB7"/>
    <w:rsid w:val="00F47F84"/>
    <w:rsid w:val="00F50E2D"/>
    <w:rsid w:val="00F5187B"/>
    <w:rsid w:val="00F51A9C"/>
    <w:rsid w:val="00F51C2C"/>
    <w:rsid w:val="00F52FE2"/>
    <w:rsid w:val="00F53A5C"/>
    <w:rsid w:val="00F54829"/>
    <w:rsid w:val="00F5596C"/>
    <w:rsid w:val="00F564CB"/>
    <w:rsid w:val="00F5716D"/>
    <w:rsid w:val="00F60DBF"/>
    <w:rsid w:val="00F61F61"/>
    <w:rsid w:val="00F62298"/>
    <w:rsid w:val="00F62820"/>
    <w:rsid w:val="00F631C5"/>
    <w:rsid w:val="00F6386E"/>
    <w:rsid w:val="00F647E2"/>
    <w:rsid w:val="00F65315"/>
    <w:rsid w:val="00F65B0D"/>
    <w:rsid w:val="00F65EA8"/>
    <w:rsid w:val="00F6602A"/>
    <w:rsid w:val="00F66BE6"/>
    <w:rsid w:val="00F679B4"/>
    <w:rsid w:val="00F67CE3"/>
    <w:rsid w:val="00F71681"/>
    <w:rsid w:val="00F723A7"/>
    <w:rsid w:val="00F72AB0"/>
    <w:rsid w:val="00F72E9D"/>
    <w:rsid w:val="00F74B0F"/>
    <w:rsid w:val="00F74BD2"/>
    <w:rsid w:val="00F75DE6"/>
    <w:rsid w:val="00F7677D"/>
    <w:rsid w:val="00F76C5D"/>
    <w:rsid w:val="00F7723A"/>
    <w:rsid w:val="00F8075F"/>
    <w:rsid w:val="00F80DB7"/>
    <w:rsid w:val="00F819B6"/>
    <w:rsid w:val="00F821D4"/>
    <w:rsid w:val="00F83021"/>
    <w:rsid w:val="00F84179"/>
    <w:rsid w:val="00F84199"/>
    <w:rsid w:val="00F84B8F"/>
    <w:rsid w:val="00F862CD"/>
    <w:rsid w:val="00F86558"/>
    <w:rsid w:val="00F86E59"/>
    <w:rsid w:val="00F87414"/>
    <w:rsid w:val="00F87F2A"/>
    <w:rsid w:val="00F907CB"/>
    <w:rsid w:val="00F92A37"/>
    <w:rsid w:val="00F92B94"/>
    <w:rsid w:val="00F92DD3"/>
    <w:rsid w:val="00F936F2"/>
    <w:rsid w:val="00F948F5"/>
    <w:rsid w:val="00F94CD8"/>
    <w:rsid w:val="00F95777"/>
    <w:rsid w:val="00F96835"/>
    <w:rsid w:val="00F972C0"/>
    <w:rsid w:val="00FA0437"/>
    <w:rsid w:val="00FA0E82"/>
    <w:rsid w:val="00FA19C2"/>
    <w:rsid w:val="00FA3FB8"/>
    <w:rsid w:val="00FA4EFE"/>
    <w:rsid w:val="00FA5760"/>
    <w:rsid w:val="00FA5A02"/>
    <w:rsid w:val="00FA6049"/>
    <w:rsid w:val="00FA6EC0"/>
    <w:rsid w:val="00FA7E74"/>
    <w:rsid w:val="00FB0CD2"/>
    <w:rsid w:val="00FB10B5"/>
    <w:rsid w:val="00FB1732"/>
    <w:rsid w:val="00FB1E44"/>
    <w:rsid w:val="00FB2DCE"/>
    <w:rsid w:val="00FB32EA"/>
    <w:rsid w:val="00FB381C"/>
    <w:rsid w:val="00FB53D1"/>
    <w:rsid w:val="00FB5B0F"/>
    <w:rsid w:val="00FB5CA5"/>
    <w:rsid w:val="00FB6330"/>
    <w:rsid w:val="00FC0B52"/>
    <w:rsid w:val="00FC2F76"/>
    <w:rsid w:val="00FC30B2"/>
    <w:rsid w:val="00FC31F4"/>
    <w:rsid w:val="00FC388A"/>
    <w:rsid w:val="00FC42D4"/>
    <w:rsid w:val="00FD026B"/>
    <w:rsid w:val="00FD1307"/>
    <w:rsid w:val="00FD142F"/>
    <w:rsid w:val="00FD20BB"/>
    <w:rsid w:val="00FD3203"/>
    <w:rsid w:val="00FD3798"/>
    <w:rsid w:val="00FD43E8"/>
    <w:rsid w:val="00FD644B"/>
    <w:rsid w:val="00FD703F"/>
    <w:rsid w:val="00FD717C"/>
    <w:rsid w:val="00FD7A2B"/>
    <w:rsid w:val="00FE0C70"/>
    <w:rsid w:val="00FE0D6B"/>
    <w:rsid w:val="00FE1D54"/>
    <w:rsid w:val="00FE3235"/>
    <w:rsid w:val="00FE3DC9"/>
    <w:rsid w:val="00FE3DDB"/>
    <w:rsid w:val="00FE4469"/>
    <w:rsid w:val="00FE4D78"/>
    <w:rsid w:val="00FE6CCA"/>
    <w:rsid w:val="00FE7A05"/>
    <w:rsid w:val="00FF1475"/>
    <w:rsid w:val="00FF1CAB"/>
    <w:rsid w:val="00FF2137"/>
    <w:rsid w:val="00FF26CB"/>
    <w:rsid w:val="00FF2FB9"/>
    <w:rsid w:val="00FF4174"/>
    <w:rsid w:val="00FF4F10"/>
    <w:rsid w:val="00FF5319"/>
    <w:rsid w:val="00FF60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99B0B"/>
  <w15:chartTrackingRefBased/>
  <w15:docId w15:val="{A35B1E96-F23F-4ABF-9120-6015FD09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E5C"/>
    <w:pPr>
      <w:spacing w:after="200" w:line="276" w:lineRule="auto"/>
    </w:pPr>
    <w:rPr>
      <w:sz w:val="22"/>
      <w:szCs w:val="22"/>
      <w:lang w:eastAsia="en-US"/>
    </w:rPr>
  </w:style>
  <w:style w:type="paragraph" w:styleId="Nagwek1">
    <w:name w:val="heading 1"/>
    <w:basedOn w:val="Normalny"/>
    <w:next w:val="Normalny"/>
    <w:link w:val="Nagwek1Znak"/>
    <w:uiPriority w:val="9"/>
    <w:qFormat/>
    <w:rsid w:val="004F0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ußnote,Footnote text,Tekst przypisu Znak Znak Znak Znak,footnote text"/>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link w:val="Tekstprzypisudolnego"/>
    <w:uiPriority w:val="99"/>
    <w:rsid w:val="00BA3860"/>
    <w:rPr>
      <w:sz w:val="20"/>
      <w:szCs w:val="20"/>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603503"/>
    <w:rPr>
      <w:rFonts w:ascii="Segoe UI" w:hAnsi="Segoe UI" w:cs="Segoe UI" w:hint="default"/>
      <w:sz w:val="18"/>
      <w:szCs w:val="18"/>
    </w:rPr>
  </w:style>
  <w:style w:type="character" w:customStyle="1" w:styleId="ui-provider">
    <w:name w:val="ui-provider"/>
    <w:basedOn w:val="Domylnaczcionkaakapitu"/>
    <w:rsid w:val="006975FD"/>
  </w:style>
  <w:style w:type="paragraph" w:styleId="Tytu">
    <w:name w:val="Title"/>
    <w:basedOn w:val="Normalny"/>
    <w:next w:val="Normalny"/>
    <w:link w:val="TytuZnak"/>
    <w:uiPriority w:val="10"/>
    <w:qFormat/>
    <w:rsid w:val="004F0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067B"/>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4F067B"/>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6A73F6"/>
    <w:pPr>
      <w:autoSpaceDE w:val="0"/>
      <w:autoSpaceDN w:val="0"/>
      <w:adjustRightInd w:val="0"/>
    </w:pPr>
    <w:rPr>
      <w:rFonts w:cs="Calibri"/>
      <w:color w:val="000000"/>
      <w:sz w:val="24"/>
      <w:szCs w:val="24"/>
    </w:rPr>
  </w:style>
  <w:style w:type="table" w:customStyle="1" w:styleId="nowy1">
    <w:name w:val="nowy1"/>
    <w:basedOn w:val="Standardowy"/>
    <w:next w:val="Tabela-Siatka"/>
    <w:uiPriority w:val="39"/>
    <w:rsid w:val="00756BA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C2E16"/>
    <w:rPr>
      <w:color w:val="605E5C"/>
      <w:shd w:val="clear" w:color="auto" w:fill="E1DFDD"/>
    </w:rPr>
  </w:style>
  <w:style w:type="character" w:styleId="UyteHipercze">
    <w:name w:val="FollowedHyperlink"/>
    <w:basedOn w:val="Domylnaczcionkaakapitu"/>
    <w:uiPriority w:val="99"/>
    <w:semiHidden/>
    <w:unhideWhenUsed/>
    <w:rsid w:val="0056136C"/>
    <w:rPr>
      <w:color w:val="954F72" w:themeColor="followedHyperlink"/>
      <w:u w:val="single"/>
    </w:rPr>
  </w:style>
  <w:style w:type="paragraph" w:customStyle="1" w:styleId="pf1">
    <w:name w:val="pf1"/>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21">
    <w:name w:val="cf21"/>
    <w:basedOn w:val="Domylnaczcionkaakapitu"/>
    <w:rsid w:val="00093A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106049268">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32998449">
      <w:bodyDiv w:val="1"/>
      <w:marLeft w:val="0"/>
      <w:marRight w:val="0"/>
      <w:marTop w:val="0"/>
      <w:marBottom w:val="0"/>
      <w:divBdr>
        <w:top w:val="none" w:sz="0" w:space="0" w:color="auto"/>
        <w:left w:val="none" w:sz="0" w:space="0" w:color="auto"/>
        <w:bottom w:val="none" w:sz="0" w:space="0" w:color="auto"/>
        <w:right w:val="none" w:sz="0" w:space="0" w:color="auto"/>
      </w:divBdr>
    </w:div>
    <w:div w:id="343440653">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712924186">
      <w:bodyDiv w:val="1"/>
      <w:marLeft w:val="0"/>
      <w:marRight w:val="0"/>
      <w:marTop w:val="0"/>
      <w:marBottom w:val="0"/>
      <w:divBdr>
        <w:top w:val="none" w:sz="0" w:space="0" w:color="auto"/>
        <w:left w:val="none" w:sz="0" w:space="0" w:color="auto"/>
        <w:bottom w:val="none" w:sz="0" w:space="0" w:color="auto"/>
        <w:right w:val="none" w:sz="0" w:space="0" w:color="auto"/>
      </w:divBdr>
    </w:div>
    <w:div w:id="831918673">
      <w:bodyDiv w:val="1"/>
      <w:marLeft w:val="0"/>
      <w:marRight w:val="0"/>
      <w:marTop w:val="0"/>
      <w:marBottom w:val="0"/>
      <w:divBdr>
        <w:top w:val="none" w:sz="0" w:space="0" w:color="auto"/>
        <w:left w:val="none" w:sz="0" w:space="0" w:color="auto"/>
        <w:bottom w:val="none" w:sz="0" w:space="0" w:color="auto"/>
        <w:right w:val="none" w:sz="0" w:space="0" w:color="auto"/>
      </w:divBdr>
    </w:div>
    <w:div w:id="878129596">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104417155">
      <w:bodyDiv w:val="1"/>
      <w:marLeft w:val="0"/>
      <w:marRight w:val="0"/>
      <w:marTop w:val="0"/>
      <w:marBottom w:val="0"/>
      <w:divBdr>
        <w:top w:val="none" w:sz="0" w:space="0" w:color="auto"/>
        <w:left w:val="none" w:sz="0" w:space="0" w:color="auto"/>
        <w:bottom w:val="none" w:sz="0" w:space="0" w:color="auto"/>
        <w:right w:val="none" w:sz="0" w:space="0" w:color="auto"/>
      </w:divBdr>
    </w:div>
    <w:div w:id="1227180642">
      <w:bodyDiv w:val="1"/>
      <w:marLeft w:val="0"/>
      <w:marRight w:val="0"/>
      <w:marTop w:val="0"/>
      <w:marBottom w:val="0"/>
      <w:divBdr>
        <w:top w:val="none" w:sz="0" w:space="0" w:color="auto"/>
        <w:left w:val="none" w:sz="0" w:space="0" w:color="auto"/>
        <w:bottom w:val="none" w:sz="0" w:space="0" w:color="auto"/>
        <w:right w:val="none" w:sz="0" w:space="0" w:color="auto"/>
      </w:divBdr>
    </w:div>
    <w:div w:id="1271162688">
      <w:bodyDiv w:val="1"/>
      <w:marLeft w:val="0"/>
      <w:marRight w:val="0"/>
      <w:marTop w:val="0"/>
      <w:marBottom w:val="0"/>
      <w:divBdr>
        <w:top w:val="none" w:sz="0" w:space="0" w:color="auto"/>
        <w:left w:val="none" w:sz="0" w:space="0" w:color="auto"/>
        <w:bottom w:val="none" w:sz="0" w:space="0" w:color="auto"/>
        <w:right w:val="none" w:sz="0" w:space="0" w:color="auto"/>
      </w:divBdr>
    </w:div>
    <w:div w:id="1539705582">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609661406">
      <w:bodyDiv w:val="1"/>
      <w:marLeft w:val="0"/>
      <w:marRight w:val="0"/>
      <w:marTop w:val="0"/>
      <w:marBottom w:val="0"/>
      <w:divBdr>
        <w:top w:val="none" w:sz="0" w:space="0" w:color="auto"/>
        <w:left w:val="none" w:sz="0" w:space="0" w:color="auto"/>
        <w:bottom w:val="none" w:sz="0" w:space="0" w:color="auto"/>
        <w:right w:val="none" w:sz="0" w:space="0" w:color="auto"/>
      </w:divBdr>
    </w:div>
    <w:div w:id="165186337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
    <w:div w:id="1954708154">
      <w:bodyDiv w:val="1"/>
      <w:marLeft w:val="0"/>
      <w:marRight w:val="0"/>
      <w:marTop w:val="0"/>
      <w:marBottom w:val="0"/>
      <w:divBdr>
        <w:top w:val="none" w:sz="0" w:space="0" w:color="auto"/>
        <w:left w:val="none" w:sz="0" w:space="0" w:color="auto"/>
        <w:bottom w:val="none" w:sz="0" w:space="0" w:color="auto"/>
        <w:right w:val="none" w:sz="0" w:space="0" w:color="auto"/>
      </w:divBdr>
    </w:div>
    <w:div w:id="2108495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europejskie.warmia.mazur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warmia.mazury.pl/artykul/469/wskaznik-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9795-1E9B-4CF2-9702-F6576F14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3762</Words>
  <Characters>22575</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Metryka Instrumentu Finansowego. Wzór. Pożyczka rozwojowa z umorzeniem.</vt:lpstr>
    </vt:vector>
  </TitlesOfParts>
  <Company>Bank Gospodarstwa Krajowego</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Metryka Instrumentu Finansowego. Wzór. Pożyczka rozwojowa z umorzeniem.</dc:title>
  <dc:subject/>
  <dc:creator>Baczewski, Jacek</dc:creator>
  <cp:keywords/>
  <dc:description/>
  <cp:lastModifiedBy>NIDA</cp:lastModifiedBy>
  <cp:revision>30</cp:revision>
  <cp:lastPrinted>2026-02-06T07:21:00Z</cp:lastPrinted>
  <dcterms:created xsi:type="dcterms:W3CDTF">2026-01-14T09:52:00Z</dcterms:created>
  <dcterms:modified xsi:type="dcterms:W3CDTF">2026-04-21T11:02:00Z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