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F505C" w14:textId="3D6DC1FD" w:rsidR="00420F07" w:rsidRPr="008914CC" w:rsidRDefault="00420F07" w:rsidP="00AD2F2F">
      <w:pPr>
        <w:pStyle w:val="Akapitzlist"/>
        <w:spacing w:after="120" w:line="23" w:lineRule="atLeast"/>
        <w:jc w:val="right"/>
        <w:rPr>
          <w:b/>
          <w:sz w:val="20"/>
        </w:rPr>
      </w:pPr>
      <w:r w:rsidRPr="008914CC">
        <w:rPr>
          <w:b/>
          <w:sz w:val="20"/>
        </w:rPr>
        <w:t xml:space="preserve">Załącznik nr </w:t>
      </w:r>
      <w:r w:rsidR="00F570F6">
        <w:rPr>
          <w:b/>
          <w:sz w:val="20"/>
        </w:rPr>
        <w:t>4</w:t>
      </w:r>
      <w:bookmarkStart w:id="0" w:name="_GoBack"/>
      <w:bookmarkEnd w:id="0"/>
      <w:r w:rsidR="00AD2F2F" w:rsidRPr="008914CC">
        <w:rPr>
          <w:b/>
          <w:sz w:val="20"/>
        </w:rPr>
        <w:t xml:space="preserve"> do</w:t>
      </w:r>
      <w:r w:rsidR="008914CC">
        <w:rPr>
          <w:b/>
          <w:sz w:val="20"/>
        </w:rPr>
        <w:t xml:space="preserve"> Umowy Inwestycyjnej nr </w:t>
      </w:r>
      <w:r w:rsidR="008914CC" w:rsidRPr="008914CC">
        <w:rPr>
          <w:b/>
          <w:sz w:val="20"/>
          <w:highlight w:val="lightGray"/>
        </w:rPr>
        <w:t>……..</w:t>
      </w:r>
      <w:r w:rsidR="00AD2F2F" w:rsidRPr="008914CC">
        <w:rPr>
          <w:b/>
          <w:sz w:val="20"/>
        </w:rPr>
        <w:t xml:space="preserve"> </w:t>
      </w:r>
    </w:p>
    <w:p w14:paraId="4FFE8CF3" w14:textId="516A2F8B" w:rsidR="00F47F84" w:rsidRPr="00420F07" w:rsidRDefault="00420F07" w:rsidP="00AD2F2F">
      <w:pPr>
        <w:pStyle w:val="Akapitzlist"/>
        <w:spacing w:after="120" w:line="23" w:lineRule="atLeast"/>
        <w:jc w:val="right"/>
        <w:rPr>
          <w:rFonts w:cs="Calibri"/>
          <w:b/>
        </w:rPr>
      </w:pPr>
      <w:r w:rsidRPr="00420F07">
        <w:rPr>
          <w:i/>
        </w:rPr>
        <w:t xml:space="preserve"> </w:t>
      </w:r>
    </w:p>
    <w:p w14:paraId="73722356" w14:textId="77777777" w:rsidR="00DD5BC5" w:rsidRPr="00AA387D" w:rsidRDefault="00DD5BC5" w:rsidP="003C69E2">
      <w:pPr>
        <w:pStyle w:val="Akapitzlist"/>
        <w:spacing w:after="120" w:line="23" w:lineRule="atLeast"/>
        <w:contextualSpacing w:val="0"/>
        <w:jc w:val="right"/>
        <w:rPr>
          <w:rFonts w:cs="Calibri"/>
          <w:b/>
        </w:rPr>
      </w:pPr>
    </w:p>
    <w:p w14:paraId="7CC28B02" w14:textId="77777777" w:rsidR="005F3EAE" w:rsidRPr="006E38B6" w:rsidRDefault="00AE0AB5" w:rsidP="003C69E2">
      <w:pPr>
        <w:pStyle w:val="Akapitzlist"/>
        <w:spacing w:after="120" w:line="23" w:lineRule="atLeast"/>
        <w:ind w:left="0"/>
        <w:contextualSpacing w:val="0"/>
        <w:jc w:val="center"/>
        <w:rPr>
          <w:rFonts w:cs="Calibri"/>
          <w:b/>
          <w:sz w:val="24"/>
          <w:szCs w:val="24"/>
        </w:rPr>
      </w:pPr>
      <w:r w:rsidRPr="006E38B6">
        <w:rPr>
          <w:rFonts w:cs="Calibri"/>
          <w:b/>
          <w:sz w:val="24"/>
          <w:szCs w:val="24"/>
        </w:rPr>
        <w:t>Karta Produktu</w:t>
      </w:r>
    </w:p>
    <w:p w14:paraId="4E5BB3CD" w14:textId="77777777" w:rsidR="00AD1A5D" w:rsidRPr="006E38B6" w:rsidRDefault="003B7BE6" w:rsidP="003B7BE6">
      <w:pPr>
        <w:pStyle w:val="Akapitzlist"/>
        <w:spacing w:after="120" w:line="23" w:lineRule="atLeast"/>
        <w:ind w:left="0"/>
        <w:contextualSpacing w:val="0"/>
        <w:jc w:val="center"/>
        <w:rPr>
          <w:rFonts w:cs="Calibri"/>
          <w:b/>
          <w:sz w:val="24"/>
          <w:szCs w:val="24"/>
        </w:rPr>
      </w:pPr>
      <w:r w:rsidRPr="006E38B6">
        <w:rPr>
          <w:rFonts w:cs="Calibri"/>
          <w:b/>
          <w:sz w:val="24"/>
          <w:szCs w:val="24"/>
        </w:rPr>
        <w:t>Pożyczka OZE z premią dla MŚP</w:t>
      </w:r>
    </w:p>
    <w:p w14:paraId="397A0FD2" w14:textId="77777777" w:rsidR="000B6E46" w:rsidRPr="00DB6B7A" w:rsidRDefault="000B6E46" w:rsidP="00626CD2">
      <w:pPr>
        <w:pStyle w:val="Nagwek1"/>
        <w:numPr>
          <w:ilvl w:val="0"/>
          <w:numId w:val="21"/>
        </w:numPr>
        <w:rPr>
          <w:szCs w:val="22"/>
        </w:rPr>
      </w:pPr>
      <w:r w:rsidRPr="00DB6B7A">
        <w:rPr>
          <w:szCs w:val="22"/>
        </w:rPr>
        <w:t>Po</w:t>
      </w:r>
      <w:r w:rsidR="00AE0AB5" w:rsidRPr="00DB6B7A">
        <w:rPr>
          <w:szCs w:val="22"/>
        </w:rPr>
        <w:t>dstawowe parametry</w:t>
      </w:r>
      <w:r w:rsidRPr="00DB6B7A">
        <w:rPr>
          <w:szCs w:val="22"/>
        </w:rPr>
        <w:t xml:space="preserve"> Pożyczek</w:t>
      </w:r>
    </w:p>
    <w:p w14:paraId="1ABDAFDA" w14:textId="77777777" w:rsidR="003B7BE6" w:rsidRPr="0032438B" w:rsidRDefault="000B6E46" w:rsidP="00910176">
      <w:pPr>
        <w:pStyle w:val="Akapitzlist"/>
        <w:numPr>
          <w:ilvl w:val="0"/>
          <w:numId w:val="1"/>
        </w:numPr>
        <w:spacing w:after="120" w:line="23" w:lineRule="atLeast"/>
        <w:ind w:left="567" w:hanging="357"/>
        <w:contextualSpacing w:val="0"/>
        <w:jc w:val="both"/>
        <w:rPr>
          <w:rFonts w:cs="Calibri"/>
        </w:rPr>
      </w:pPr>
      <w:r w:rsidRPr="0032438B">
        <w:rPr>
          <w:rFonts w:cs="Calibri"/>
        </w:rPr>
        <w:t xml:space="preserve">Wartość Pożyczki wynosi do </w:t>
      </w:r>
      <w:r w:rsidR="003B7BE6" w:rsidRPr="0032438B">
        <w:rPr>
          <w:rFonts w:cs="Calibri"/>
        </w:rPr>
        <w:t>3</w:t>
      </w:r>
      <w:r w:rsidRPr="0032438B">
        <w:rPr>
          <w:rFonts w:cs="Calibri"/>
        </w:rPr>
        <w:t xml:space="preserve">.000.000,00 </w:t>
      </w:r>
      <w:r w:rsidR="00C83244" w:rsidRPr="0032438B">
        <w:rPr>
          <w:rFonts w:cs="Calibri"/>
        </w:rPr>
        <w:t>PLN</w:t>
      </w:r>
      <w:r w:rsidR="00862FCC" w:rsidRPr="0032438B">
        <w:rPr>
          <w:rFonts w:cs="Calibri"/>
        </w:rPr>
        <w:t>.</w:t>
      </w:r>
    </w:p>
    <w:p w14:paraId="7A0FF963" w14:textId="77777777" w:rsidR="003B7BE6" w:rsidRPr="006E38B6" w:rsidRDefault="003B7BE6" w:rsidP="00910176">
      <w:pPr>
        <w:pStyle w:val="Akapitzlist"/>
        <w:numPr>
          <w:ilvl w:val="0"/>
          <w:numId w:val="1"/>
        </w:numPr>
        <w:spacing w:after="120" w:line="23" w:lineRule="atLeast"/>
        <w:ind w:left="567" w:hanging="357"/>
        <w:contextualSpacing w:val="0"/>
        <w:jc w:val="both"/>
        <w:rPr>
          <w:rFonts w:cs="Calibri"/>
        </w:rPr>
      </w:pPr>
      <w:r w:rsidRPr="0032438B">
        <w:rPr>
          <w:rFonts w:cs="Calibri"/>
          <w:color w:val="000000"/>
          <w:lang w:eastAsia="pl-PL"/>
        </w:rPr>
        <w:t xml:space="preserve">Łączna wartość Jednostkowych Pożyczek udzielonych jednemu </w:t>
      </w:r>
      <w:r w:rsidR="005D3676">
        <w:rPr>
          <w:rFonts w:cs="Calibri"/>
          <w:color w:val="000000"/>
          <w:lang w:eastAsia="pl-PL"/>
        </w:rPr>
        <w:t>Pożyczkobiorcy</w:t>
      </w:r>
      <w:r w:rsidRPr="0032438B">
        <w:rPr>
          <w:rFonts w:cs="Calibri"/>
          <w:color w:val="000000"/>
          <w:lang w:eastAsia="pl-PL"/>
        </w:rPr>
        <w:t xml:space="preserve"> nie może </w:t>
      </w:r>
      <w:r w:rsidRPr="006E38B6">
        <w:rPr>
          <w:rFonts w:cs="Calibri"/>
          <w:color w:val="000000"/>
          <w:lang w:eastAsia="pl-PL"/>
        </w:rPr>
        <w:t xml:space="preserve">przekraczać 3.000.000,00 PLN. </w:t>
      </w:r>
    </w:p>
    <w:p w14:paraId="51DF37D6" w14:textId="77777777" w:rsidR="000B6E46" w:rsidRPr="006E38B6" w:rsidRDefault="000B6E46" w:rsidP="00910176">
      <w:pPr>
        <w:pStyle w:val="Akapitzlist"/>
        <w:numPr>
          <w:ilvl w:val="0"/>
          <w:numId w:val="1"/>
        </w:numPr>
        <w:spacing w:after="120" w:line="23" w:lineRule="atLeast"/>
        <w:ind w:left="567" w:hanging="357"/>
        <w:contextualSpacing w:val="0"/>
        <w:jc w:val="both"/>
        <w:rPr>
          <w:rFonts w:cs="Calibri"/>
          <w:lang w:eastAsia="pl-PL"/>
        </w:rPr>
      </w:pPr>
      <w:r w:rsidRPr="006E38B6">
        <w:rPr>
          <w:rFonts w:cs="Calibri"/>
          <w:lang w:eastAsia="pl-PL"/>
        </w:rPr>
        <w:t>Maks</w:t>
      </w:r>
      <w:r w:rsidR="00AE0AB5" w:rsidRPr="006E38B6">
        <w:rPr>
          <w:rFonts w:cs="Calibri"/>
          <w:lang w:eastAsia="pl-PL"/>
        </w:rPr>
        <w:t>ymalny okres spłaty Pożyczki</w:t>
      </w:r>
      <w:r w:rsidRPr="006E38B6">
        <w:rPr>
          <w:rFonts w:cs="Calibri"/>
          <w:lang w:eastAsia="pl-PL"/>
        </w:rPr>
        <w:t xml:space="preserve"> nie może być dłuższy niż </w:t>
      </w:r>
      <w:r w:rsidR="00D474A1" w:rsidRPr="006E38B6">
        <w:rPr>
          <w:rFonts w:cs="Calibri"/>
          <w:lang w:eastAsia="pl-PL"/>
        </w:rPr>
        <w:t>1</w:t>
      </w:r>
      <w:r w:rsidR="003B7BE6" w:rsidRPr="006E38B6">
        <w:rPr>
          <w:rFonts w:cs="Calibri"/>
          <w:lang w:eastAsia="pl-PL"/>
        </w:rPr>
        <w:t>20</w:t>
      </w:r>
      <w:r w:rsidR="00D474A1" w:rsidRPr="006E38B6">
        <w:rPr>
          <w:rFonts w:cs="Calibri"/>
          <w:lang w:eastAsia="pl-PL"/>
        </w:rPr>
        <w:t xml:space="preserve"> miesiące</w:t>
      </w:r>
      <w:r w:rsidRPr="006E38B6">
        <w:rPr>
          <w:rFonts w:cs="Calibri"/>
          <w:lang w:eastAsia="pl-PL"/>
        </w:rPr>
        <w:t xml:space="preserve"> od momentu jej uruchomienia, tj. wypłaty </w:t>
      </w:r>
      <w:r w:rsidR="00AE0AB5" w:rsidRPr="006E38B6">
        <w:rPr>
          <w:rFonts w:cs="Calibri"/>
          <w:lang w:eastAsia="pl-PL"/>
        </w:rPr>
        <w:t>jakiejkolwiek kwoty</w:t>
      </w:r>
      <w:r w:rsidRPr="006E38B6">
        <w:rPr>
          <w:rFonts w:cs="Calibri"/>
          <w:lang w:eastAsia="pl-PL"/>
        </w:rPr>
        <w:t xml:space="preserve"> Pożyczki. </w:t>
      </w:r>
    </w:p>
    <w:p w14:paraId="7B6DE3BB" w14:textId="77777777" w:rsidR="003B7BE6" w:rsidRPr="006E38B6" w:rsidRDefault="004F74B4" w:rsidP="00910176">
      <w:pPr>
        <w:pStyle w:val="Akapitzlist"/>
        <w:numPr>
          <w:ilvl w:val="0"/>
          <w:numId w:val="1"/>
        </w:numPr>
        <w:spacing w:after="120" w:line="23" w:lineRule="atLeast"/>
        <w:ind w:left="567" w:hanging="357"/>
        <w:contextualSpacing w:val="0"/>
        <w:jc w:val="both"/>
        <w:rPr>
          <w:rFonts w:cs="Calibri"/>
          <w:lang w:eastAsia="pl-PL"/>
        </w:rPr>
      </w:pPr>
      <w:r w:rsidRPr="006E38B6">
        <w:rPr>
          <w:rFonts w:cs="Calibri"/>
          <w:lang w:eastAsia="pl-PL"/>
        </w:rPr>
        <w:t xml:space="preserve">Możliwe jest udzielenie karencji </w:t>
      </w:r>
      <w:r w:rsidR="00AE0AB5" w:rsidRPr="006E38B6">
        <w:rPr>
          <w:rFonts w:cs="Calibri"/>
          <w:lang w:eastAsia="pl-PL"/>
        </w:rPr>
        <w:t xml:space="preserve">w spłacie kapitału </w:t>
      </w:r>
      <w:r w:rsidRPr="006E38B6">
        <w:rPr>
          <w:rFonts w:cs="Calibri"/>
          <w:lang w:eastAsia="pl-PL"/>
        </w:rPr>
        <w:t xml:space="preserve">Pożyczki. </w:t>
      </w:r>
      <w:r w:rsidR="003B7BE6" w:rsidRPr="006E38B6">
        <w:rPr>
          <w:rFonts w:cs="Calibri"/>
          <w:lang w:eastAsia="pl-PL"/>
        </w:rPr>
        <w:t xml:space="preserve">Okres karencji liczony jest od dnia jej uruchomienia/wypłaty jakiejkolwiek kwoty Jednostkowej Pożyczki i może wynosić odpowiednio:  </w:t>
      </w:r>
    </w:p>
    <w:p w14:paraId="41C678B7" w14:textId="77777777" w:rsidR="003B7BE6" w:rsidRPr="006E38B6" w:rsidRDefault="003B7BE6" w:rsidP="00910176">
      <w:pPr>
        <w:pStyle w:val="Akapitzlist"/>
        <w:numPr>
          <w:ilvl w:val="0"/>
          <w:numId w:val="3"/>
        </w:numPr>
        <w:jc w:val="both"/>
        <w:rPr>
          <w:rFonts w:cs="Calibri"/>
          <w:lang w:eastAsia="pl-PL"/>
        </w:rPr>
      </w:pPr>
      <w:r w:rsidRPr="006E38B6">
        <w:rPr>
          <w:rFonts w:cs="Calibri"/>
          <w:lang w:eastAsia="pl-PL"/>
        </w:rPr>
        <w:t>do 6 miesięcy – w przypadku Inwestycji Końcowej obejmującej instalacje do 50 kW;</w:t>
      </w:r>
    </w:p>
    <w:p w14:paraId="7611E104" w14:textId="77777777" w:rsidR="003B7BE6" w:rsidRPr="006E38B6" w:rsidRDefault="003B7BE6" w:rsidP="00910176">
      <w:pPr>
        <w:pStyle w:val="Akapitzlist"/>
        <w:numPr>
          <w:ilvl w:val="0"/>
          <w:numId w:val="3"/>
        </w:numPr>
        <w:jc w:val="both"/>
        <w:rPr>
          <w:rFonts w:cs="Calibri"/>
          <w:lang w:eastAsia="pl-PL"/>
        </w:rPr>
      </w:pPr>
      <w:r w:rsidRPr="006E38B6">
        <w:rPr>
          <w:rFonts w:cs="Calibri"/>
          <w:lang w:eastAsia="pl-PL"/>
        </w:rPr>
        <w:t>do 12 miesięcy – w przypadku Inwestycji Końcowej obejmującej instalację powyżej 50kW;</w:t>
      </w:r>
    </w:p>
    <w:p w14:paraId="26F23CCF" w14:textId="77777777" w:rsidR="0032438B" w:rsidRDefault="002C506D" w:rsidP="00910176">
      <w:pPr>
        <w:pStyle w:val="Akapitzlist"/>
        <w:spacing w:after="0"/>
        <w:ind w:left="567"/>
        <w:jc w:val="both"/>
        <w:rPr>
          <w:rFonts w:cs="Calibri"/>
          <w:lang w:eastAsia="pl-PL"/>
        </w:rPr>
      </w:pPr>
      <w:r w:rsidRPr="0032438B">
        <w:rPr>
          <w:rFonts w:cs="Calibri"/>
          <w:lang w:eastAsia="pl-PL"/>
        </w:rPr>
        <w:t xml:space="preserve">Okres karencji liczony jest </w:t>
      </w:r>
      <w:r w:rsidR="000B6E46" w:rsidRPr="0032438B">
        <w:rPr>
          <w:rFonts w:cs="Calibri"/>
          <w:lang w:eastAsia="pl-PL"/>
        </w:rPr>
        <w:t>od dnia jej uruchomienia, przy czym karencja nie wyd</w:t>
      </w:r>
      <w:r w:rsidR="00AE0AB5" w:rsidRPr="0032438B">
        <w:rPr>
          <w:rFonts w:cs="Calibri"/>
          <w:lang w:eastAsia="pl-PL"/>
        </w:rPr>
        <w:t>łuża okresu spłaty Pożyczki</w:t>
      </w:r>
      <w:r w:rsidR="000B6E46" w:rsidRPr="0032438B">
        <w:rPr>
          <w:rFonts w:cs="Calibri"/>
          <w:lang w:eastAsia="pl-PL"/>
        </w:rPr>
        <w:t>.</w:t>
      </w:r>
    </w:p>
    <w:p w14:paraId="36138979" w14:textId="77777777" w:rsidR="0032438B" w:rsidRPr="00DB6B7A" w:rsidRDefault="0032438B" w:rsidP="00626CD2">
      <w:pPr>
        <w:pStyle w:val="Nagwek1"/>
        <w:numPr>
          <w:ilvl w:val="0"/>
          <w:numId w:val="21"/>
        </w:numPr>
        <w:spacing w:before="240" w:after="240"/>
        <w:rPr>
          <w:szCs w:val="22"/>
          <w:lang w:eastAsia="pl-PL"/>
        </w:rPr>
      </w:pPr>
      <w:r w:rsidRPr="00DB6B7A">
        <w:rPr>
          <w:szCs w:val="22"/>
          <w:lang w:eastAsia="pl-PL"/>
        </w:rPr>
        <w:t xml:space="preserve">Preferencje przy udzielaniu </w:t>
      </w:r>
      <w:r w:rsidRPr="00DB6B7A">
        <w:rPr>
          <w:rStyle w:val="Nagwek1Znak"/>
          <w:b/>
          <w:bCs/>
          <w:szCs w:val="22"/>
          <w:lang w:eastAsia="pl-PL"/>
        </w:rPr>
        <w:t>Jednostkowych</w:t>
      </w:r>
      <w:r w:rsidRPr="00DB6B7A">
        <w:rPr>
          <w:b w:val="0"/>
          <w:bCs w:val="0"/>
          <w:szCs w:val="22"/>
          <w:lang w:eastAsia="pl-PL"/>
        </w:rPr>
        <w:t xml:space="preserve"> </w:t>
      </w:r>
      <w:r w:rsidRPr="00DB6B7A">
        <w:rPr>
          <w:szCs w:val="22"/>
          <w:lang w:eastAsia="pl-PL"/>
        </w:rPr>
        <w:t>Pożyczek</w:t>
      </w:r>
    </w:p>
    <w:p w14:paraId="268DAA3F" w14:textId="77777777" w:rsidR="0032438B" w:rsidRPr="0032438B" w:rsidRDefault="0032438B" w:rsidP="00910176">
      <w:pPr>
        <w:numPr>
          <w:ilvl w:val="0"/>
          <w:numId w:val="4"/>
        </w:numPr>
        <w:spacing w:before="120" w:after="0"/>
        <w:ind w:hanging="357"/>
        <w:contextualSpacing/>
        <w:jc w:val="both"/>
      </w:pPr>
      <w:r w:rsidRPr="0032438B">
        <w:t xml:space="preserve">Przy udzielaniu Jednostkowych Pożyczek przewiduje się możliwość udzielenia  dotacji w formie umorzenia, w przypadku spełnienia jednego z warunków wymienionych poniżej w  wysokości 24% wartości Jednostkowej </w:t>
      </w:r>
      <w:r w:rsidR="000750FE">
        <w:t>P</w:t>
      </w:r>
      <w:r w:rsidRPr="0032438B">
        <w:t>ożyczki</w:t>
      </w:r>
      <w:r>
        <w:t xml:space="preserve"> </w:t>
      </w:r>
      <w:r w:rsidRPr="0032438B">
        <w:t>dla:</w:t>
      </w:r>
    </w:p>
    <w:p w14:paraId="23C8EAB6" w14:textId="77777777" w:rsidR="0032438B" w:rsidRPr="0032438B" w:rsidRDefault="0032438B" w:rsidP="00910176">
      <w:pPr>
        <w:numPr>
          <w:ilvl w:val="0"/>
          <w:numId w:val="5"/>
        </w:numPr>
        <w:spacing w:before="120" w:after="0"/>
        <w:ind w:hanging="357"/>
        <w:contextualSpacing/>
        <w:jc w:val="both"/>
      </w:pPr>
      <w:r w:rsidRPr="0032438B">
        <w:t>realizacji i kompleksowej inwestycji uwzględniającej instalacje OZE do produkcji energii elektrycznej/cieplnej  wraz z magazynem energii  i instalacją</w:t>
      </w:r>
      <w:r>
        <w:t>;</w:t>
      </w:r>
    </w:p>
    <w:p w14:paraId="6DE107F4" w14:textId="77777777" w:rsidR="0032438B" w:rsidRPr="0032438B" w:rsidRDefault="0032438B" w:rsidP="00910176">
      <w:pPr>
        <w:numPr>
          <w:ilvl w:val="0"/>
          <w:numId w:val="5"/>
        </w:numPr>
        <w:spacing w:after="0"/>
        <w:contextualSpacing/>
        <w:jc w:val="both"/>
      </w:pPr>
      <w:r w:rsidRPr="0032438B">
        <w:t>Inwestycji do 50 KW realizowanych:</w:t>
      </w:r>
    </w:p>
    <w:p w14:paraId="6CFB128D" w14:textId="77777777" w:rsidR="0032438B" w:rsidRPr="00422B6C" w:rsidRDefault="0032438B" w:rsidP="00910176">
      <w:pPr>
        <w:pStyle w:val="Akapitzlist"/>
        <w:numPr>
          <w:ilvl w:val="0"/>
          <w:numId w:val="6"/>
        </w:numPr>
        <w:jc w:val="both"/>
        <w:rPr>
          <w:rFonts w:cs="Calibri"/>
          <w:lang w:eastAsia="pl-PL"/>
        </w:rPr>
      </w:pPr>
      <w:r w:rsidRPr="00422B6C">
        <w:rPr>
          <w:rFonts w:cs="Calibri"/>
          <w:lang w:eastAsia="pl-PL"/>
        </w:rPr>
        <w:t>na terenach gmin, dla których wskaźnik dochodów podatkowych G</w:t>
      </w:r>
      <w:r w:rsidRPr="00E87CBB">
        <w:rPr>
          <w:rFonts w:cs="Calibri"/>
          <w:vertAlign w:val="superscript"/>
          <w:lang w:eastAsia="pl-PL"/>
        </w:rPr>
        <w:footnoteReference w:id="2"/>
      </w:r>
      <w:r w:rsidRPr="00422B6C">
        <w:rPr>
          <w:rFonts w:cs="Calibri"/>
          <w:lang w:eastAsia="pl-PL"/>
        </w:rPr>
        <w:t xml:space="preserve"> jest poniżej</w:t>
      </w:r>
      <w:r w:rsidR="00422B6C">
        <w:rPr>
          <w:rFonts w:cs="Calibri"/>
          <w:lang w:eastAsia="pl-PL"/>
        </w:rPr>
        <w:t xml:space="preserve"> </w:t>
      </w:r>
      <w:r w:rsidRPr="00422B6C">
        <w:rPr>
          <w:rFonts w:cs="Calibri"/>
          <w:lang w:eastAsia="pl-PL"/>
        </w:rPr>
        <w:t xml:space="preserve">średniej regionalnej, lub </w:t>
      </w:r>
    </w:p>
    <w:p w14:paraId="77038F40" w14:textId="77777777" w:rsidR="0032438B" w:rsidRPr="0032438B" w:rsidRDefault="0032438B" w:rsidP="00910176">
      <w:pPr>
        <w:pStyle w:val="Akapitzlist"/>
        <w:numPr>
          <w:ilvl w:val="0"/>
          <w:numId w:val="6"/>
        </w:numPr>
        <w:jc w:val="both"/>
      </w:pPr>
      <w:r w:rsidRPr="00422B6C">
        <w:rPr>
          <w:rFonts w:cs="Calibri"/>
          <w:lang w:eastAsia="pl-PL"/>
        </w:rPr>
        <w:t>na obszarach OSI Obszary Marginalizacji</w:t>
      </w:r>
      <w:r w:rsidRPr="00E87CBB">
        <w:rPr>
          <w:rFonts w:cs="Calibri"/>
          <w:vertAlign w:val="superscript"/>
          <w:lang w:eastAsia="pl-PL"/>
        </w:rPr>
        <w:footnoteReference w:id="3"/>
      </w:r>
      <w:r w:rsidRPr="00422B6C">
        <w:rPr>
          <w:rFonts w:cs="Calibri"/>
          <w:lang w:eastAsia="pl-PL"/>
        </w:rPr>
        <w:t xml:space="preserve"> lub OSI Miasta tracące funkcje społeczno-gospodarcze</w:t>
      </w:r>
      <w:r w:rsidRPr="00E87CBB">
        <w:rPr>
          <w:rFonts w:cs="Calibri"/>
          <w:vertAlign w:val="superscript"/>
          <w:lang w:eastAsia="pl-PL"/>
        </w:rPr>
        <w:footnoteReference w:id="4"/>
      </w:r>
      <w:r w:rsidRPr="00422B6C">
        <w:rPr>
          <w:rFonts w:cs="Calibri"/>
          <w:lang w:eastAsia="pl-PL"/>
        </w:rPr>
        <w:t xml:space="preserve"> lub obszarach Integratora Mazurskiego</w:t>
      </w:r>
      <w:r w:rsidRPr="00E87CBB">
        <w:rPr>
          <w:rFonts w:cs="Calibri"/>
          <w:vertAlign w:val="superscript"/>
          <w:lang w:eastAsia="pl-PL"/>
        </w:rPr>
        <w:footnoteReference w:id="5"/>
      </w:r>
      <w:r w:rsidRPr="00E87CBB">
        <w:rPr>
          <w:rFonts w:cs="Calibri"/>
          <w:vertAlign w:val="superscript"/>
          <w:lang w:eastAsia="pl-PL"/>
        </w:rPr>
        <w:t xml:space="preserve"> </w:t>
      </w:r>
      <w:r w:rsidRPr="00422B6C">
        <w:rPr>
          <w:rFonts w:cs="Calibri"/>
          <w:lang w:eastAsia="pl-PL"/>
        </w:rPr>
        <w:t>lub przygranicznych powiatów województwa</w:t>
      </w:r>
      <w:r w:rsidRPr="0032438B">
        <w:rPr>
          <w:vertAlign w:val="superscript"/>
        </w:rPr>
        <w:footnoteReference w:id="6"/>
      </w:r>
      <w:r w:rsidRPr="0032438B">
        <w:t xml:space="preserve"> .</w:t>
      </w:r>
    </w:p>
    <w:p w14:paraId="5E9B76F8" w14:textId="77777777" w:rsidR="0032438B" w:rsidRPr="0032438B" w:rsidRDefault="0032438B" w:rsidP="00910176">
      <w:pPr>
        <w:numPr>
          <w:ilvl w:val="0"/>
          <w:numId w:val="5"/>
        </w:numPr>
        <w:spacing w:after="0"/>
        <w:contextualSpacing/>
        <w:jc w:val="both"/>
      </w:pPr>
      <w:r w:rsidRPr="0032438B">
        <w:t>Inwestycji Końcowych uwzgledniających inteligentne systemy zarządzania energią, o których mowa w cz. I</w:t>
      </w:r>
      <w:r w:rsidR="006A49EC">
        <w:t>II</w:t>
      </w:r>
      <w:r w:rsidRPr="0032438B">
        <w:t xml:space="preserve"> pkt 1 </w:t>
      </w:r>
      <w:proofErr w:type="spellStart"/>
      <w:r w:rsidRPr="0032438B">
        <w:t>ppkt</w:t>
      </w:r>
      <w:proofErr w:type="spellEnd"/>
      <w:r w:rsidRPr="0032438B">
        <w:t xml:space="preserve"> 3 </w:t>
      </w:r>
      <w:r w:rsidR="006A49EC">
        <w:t>Karty Produktu</w:t>
      </w:r>
      <w:r w:rsidRPr="0032438B">
        <w:t xml:space="preserve">. </w:t>
      </w:r>
    </w:p>
    <w:p w14:paraId="0D2FF784" w14:textId="77777777" w:rsidR="003B7BE6" w:rsidRPr="00FD4984" w:rsidRDefault="0032438B" w:rsidP="00910176">
      <w:pPr>
        <w:numPr>
          <w:ilvl w:val="0"/>
          <w:numId w:val="4"/>
        </w:numPr>
        <w:spacing w:after="120"/>
        <w:ind w:left="714" w:hanging="357"/>
        <w:contextualSpacing/>
        <w:jc w:val="both"/>
      </w:pPr>
      <w:r w:rsidRPr="0032438B">
        <w:lastRenderedPageBreak/>
        <w:t xml:space="preserve">W przypadku spełnienia przez </w:t>
      </w:r>
      <w:r w:rsidR="005D3676">
        <w:t>Pożyczkobiorcę</w:t>
      </w:r>
      <w:r w:rsidRPr="0032438B">
        <w:t xml:space="preserve"> więcej niż jednego z ww. warunków wysokość umorzeń nie sumuje się. </w:t>
      </w:r>
    </w:p>
    <w:p w14:paraId="04373A41" w14:textId="77777777" w:rsidR="00FD4984" w:rsidRPr="00FD4984" w:rsidRDefault="00FD4984" w:rsidP="00626CD2">
      <w:pPr>
        <w:pStyle w:val="Nagwek1"/>
        <w:numPr>
          <w:ilvl w:val="0"/>
          <w:numId w:val="21"/>
        </w:numPr>
      </w:pPr>
      <w:r w:rsidRPr="00FD4984">
        <w:t>Typy Inwestycji Końcowych możliwe do sfinansowania</w:t>
      </w:r>
    </w:p>
    <w:p w14:paraId="55C28509" w14:textId="77777777" w:rsidR="00FD4984" w:rsidRDefault="00FD4984" w:rsidP="00910176">
      <w:pPr>
        <w:pStyle w:val="Akapitzlist"/>
        <w:numPr>
          <w:ilvl w:val="0"/>
          <w:numId w:val="9"/>
        </w:numPr>
        <w:spacing w:after="120" w:line="23" w:lineRule="atLeast"/>
        <w:ind w:left="567" w:hanging="357"/>
        <w:contextualSpacing w:val="0"/>
        <w:jc w:val="both"/>
        <w:rPr>
          <w:lang w:eastAsia="pl-PL"/>
        </w:rPr>
      </w:pPr>
      <w:r w:rsidRPr="00FD4984">
        <w:rPr>
          <w:rFonts w:cs="Calibri"/>
        </w:rPr>
        <w:t>Jednostkowa Pożyczka udzielana jest przez P</w:t>
      </w:r>
      <w:r w:rsidR="005D3676">
        <w:rPr>
          <w:rFonts w:cs="Calibri"/>
        </w:rPr>
        <w:t xml:space="preserve">ożyczkodawcę </w:t>
      </w:r>
      <w:r w:rsidRPr="00FD4984">
        <w:rPr>
          <w:rFonts w:cs="Calibri"/>
        </w:rPr>
        <w:t>z Wkładu Funduszu Powierniczego oraz Wkładu Partnera Finansującego z przeznaczeniem na wsparcie Inwestycji Końc</w:t>
      </w:r>
      <w:r>
        <w:rPr>
          <w:lang w:eastAsia="pl-PL"/>
        </w:rPr>
        <w:t>owych, których zakres obejmować będzie następujące typy inwestycji (dalej: typy Inwestycji Końcowych):</w:t>
      </w:r>
    </w:p>
    <w:p w14:paraId="227697AB" w14:textId="77777777" w:rsidR="00FD4984" w:rsidRDefault="00FD4984" w:rsidP="00910176">
      <w:pPr>
        <w:numPr>
          <w:ilvl w:val="0"/>
          <w:numId w:val="7"/>
        </w:numPr>
        <w:spacing w:after="0"/>
        <w:ind w:hanging="357"/>
        <w:jc w:val="both"/>
        <w:rPr>
          <w:lang w:eastAsia="pl-PL"/>
        </w:rPr>
      </w:pPr>
      <w:r w:rsidRPr="00126C9B">
        <w:rPr>
          <w:rFonts w:cs="Calibri"/>
        </w:rPr>
        <w:t>Wsparcie produkcji energii i/lub ciepła ze źródeł odnawialnych z przeznaczeniem na potrzeby własne</w:t>
      </w:r>
      <w:r>
        <w:rPr>
          <w:lang w:eastAsia="pl-PL"/>
        </w:rPr>
        <w:t>, tj.:</w:t>
      </w:r>
    </w:p>
    <w:p w14:paraId="3AA53617" w14:textId="77777777" w:rsidR="00FD4984" w:rsidRDefault="00FD4984" w:rsidP="00910176">
      <w:pPr>
        <w:numPr>
          <w:ilvl w:val="0"/>
          <w:numId w:val="8"/>
        </w:numPr>
        <w:spacing w:after="0"/>
        <w:ind w:hanging="357"/>
        <w:jc w:val="both"/>
        <w:rPr>
          <w:lang w:eastAsia="pl-PL"/>
        </w:rPr>
      </w:pPr>
      <w:r>
        <w:rPr>
          <w:lang w:eastAsia="pl-PL"/>
        </w:rPr>
        <w:t>inwestycje w odnawialne źródła energii  w zakresie wytwarzania energii elektrycznej, w tym z magazynami energii działającymi na potrzeby danego źródła OZE finansowanymi w ramach projektu wraz z przyłączeniem źródeł OZE do sieci energetycznych,</w:t>
      </w:r>
    </w:p>
    <w:p w14:paraId="6F18E852" w14:textId="77777777" w:rsidR="00FD4984" w:rsidRDefault="00FD4984" w:rsidP="00910176">
      <w:pPr>
        <w:numPr>
          <w:ilvl w:val="0"/>
          <w:numId w:val="8"/>
        </w:numPr>
        <w:spacing w:after="0"/>
        <w:ind w:hanging="357"/>
        <w:jc w:val="both"/>
        <w:rPr>
          <w:lang w:eastAsia="pl-PL"/>
        </w:rPr>
      </w:pPr>
      <w:r>
        <w:rPr>
          <w:lang w:eastAsia="pl-PL"/>
        </w:rPr>
        <w:t>inwestycje w odnawialne źródła energii w zakresie wytwarzania ciepła w tym z magazynami ciepła działającymi na potrzeby danego źródła OZE  finansowanymi w ramach projektu wraz z przyłączeniem źródeł OZE do sieci  ciepłowniczych;</w:t>
      </w:r>
    </w:p>
    <w:p w14:paraId="29957512" w14:textId="77777777" w:rsidR="00FD4984" w:rsidRPr="00126C9B" w:rsidRDefault="00FD4984" w:rsidP="00910176">
      <w:pPr>
        <w:numPr>
          <w:ilvl w:val="0"/>
          <w:numId w:val="7"/>
        </w:numPr>
        <w:spacing w:after="0"/>
        <w:ind w:hanging="357"/>
        <w:jc w:val="both"/>
        <w:rPr>
          <w:rFonts w:cs="Calibri"/>
        </w:rPr>
      </w:pPr>
      <w:r>
        <w:rPr>
          <w:lang w:eastAsia="pl-PL"/>
        </w:rPr>
        <w:t xml:space="preserve">Wsparcie produkcji </w:t>
      </w:r>
      <w:r w:rsidRPr="00126C9B">
        <w:rPr>
          <w:rFonts w:cs="Calibri"/>
        </w:rPr>
        <w:t>energii i/lub ciepła ze źródeł odnawialnych na sprzedaż, tj.:</w:t>
      </w:r>
    </w:p>
    <w:p w14:paraId="65B900F0" w14:textId="77777777" w:rsidR="00FD4984" w:rsidRPr="00126C9B" w:rsidRDefault="00FD4984" w:rsidP="00910176">
      <w:pPr>
        <w:numPr>
          <w:ilvl w:val="0"/>
          <w:numId w:val="10"/>
        </w:numPr>
        <w:spacing w:after="0"/>
        <w:jc w:val="both"/>
        <w:rPr>
          <w:rFonts w:cs="Calibri"/>
        </w:rPr>
      </w:pPr>
      <w:r w:rsidRPr="00126C9B">
        <w:rPr>
          <w:rFonts w:cs="Calibri"/>
        </w:rPr>
        <w:t>inwestycje w odnawialne źródła energii  w zakresie wytwarzania energii elektrycznej, w tym z magazynami energii działającymi na potrzeby danego źródła  OZE finansowanymi w ramach projektu wraz z przyłączeniem źródeł OZE do sieci energetycznych,</w:t>
      </w:r>
    </w:p>
    <w:p w14:paraId="0565E962" w14:textId="77777777" w:rsidR="00FD4984" w:rsidRDefault="00FD4984" w:rsidP="00910176">
      <w:pPr>
        <w:numPr>
          <w:ilvl w:val="0"/>
          <w:numId w:val="10"/>
        </w:numPr>
        <w:spacing w:after="0"/>
        <w:jc w:val="both"/>
        <w:rPr>
          <w:lang w:eastAsia="pl-PL"/>
        </w:rPr>
      </w:pPr>
      <w:r w:rsidRPr="00126C9B">
        <w:rPr>
          <w:rFonts w:cs="Calibri"/>
        </w:rPr>
        <w:t>inwestycje w odnawialne źródła energii w zakresie wytwarzania ciepła, w tym z magazynami ciepła działającymi na potrzeby danego źródła OZE, finansowanymi w ramach projektu wraz z</w:t>
      </w:r>
      <w:r>
        <w:rPr>
          <w:lang w:eastAsia="pl-PL"/>
        </w:rPr>
        <w:t xml:space="preserve"> przyłączeniem źródeł OZE do sieci ciepłowniczych;</w:t>
      </w:r>
    </w:p>
    <w:p w14:paraId="31B7012F" w14:textId="77777777" w:rsidR="00126C9B" w:rsidRPr="00126C9B" w:rsidRDefault="00126C9B" w:rsidP="00910176">
      <w:pPr>
        <w:pStyle w:val="Akapitzlist"/>
        <w:numPr>
          <w:ilvl w:val="0"/>
          <w:numId w:val="7"/>
        </w:numPr>
        <w:spacing w:after="120" w:line="23" w:lineRule="atLeast"/>
        <w:contextualSpacing w:val="0"/>
        <w:jc w:val="both"/>
        <w:rPr>
          <w:rFonts w:cs="Calibri"/>
        </w:rPr>
      </w:pPr>
      <w:r>
        <w:rPr>
          <w:lang w:eastAsia="pl-PL"/>
        </w:rPr>
        <w:t xml:space="preserve">rozwój inteligentnych systemów zarządzania energią, wyłącznie jako element </w:t>
      </w:r>
      <w:r w:rsidRPr="00126C9B">
        <w:rPr>
          <w:rFonts w:cs="Calibri"/>
        </w:rPr>
        <w:t xml:space="preserve">uzupełniający typy inwestycji wskazane w </w:t>
      </w:r>
      <w:proofErr w:type="spellStart"/>
      <w:r w:rsidRPr="00126C9B">
        <w:rPr>
          <w:rFonts w:cs="Calibri"/>
        </w:rPr>
        <w:t>ppkt</w:t>
      </w:r>
      <w:proofErr w:type="spellEnd"/>
      <w:r w:rsidRPr="00126C9B">
        <w:rPr>
          <w:rFonts w:cs="Calibri"/>
        </w:rPr>
        <w:t>. 1).</w:t>
      </w:r>
    </w:p>
    <w:p w14:paraId="54B544D6" w14:textId="77777777" w:rsidR="00126C9B" w:rsidRDefault="005D3676" w:rsidP="00910176">
      <w:pPr>
        <w:pStyle w:val="Akapitzlist"/>
        <w:numPr>
          <w:ilvl w:val="0"/>
          <w:numId w:val="9"/>
        </w:numPr>
        <w:spacing w:after="120" w:line="23" w:lineRule="atLeast"/>
        <w:ind w:left="584" w:hanging="357"/>
        <w:contextualSpacing w:val="0"/>
        <w:jc w:val="both"/>
        <w:rPr>
          <w:lang w:eastAsia="pl-PL"/>
        </w:rPr>
      </w:pPr>
      <w:r>
        <w:rPr>
          <w:rFonts w:cs="Calibri"/>
        </w:rPr>
        <w:t xml:space="preserve">Pożyczkobiorcami </w:t>
      </w:r>
      <w:r w:rsidR="00126C9B" w:rsidRPr="00126C9B">
        <w:rPr>
          <w:rFonts w:cs="Calibri"/>
        </w:rPr>
        <w:t>Jednostkowych Pożyczek mogą być przedsiębiorcy będący mikro, małym albo średnim</w:t>
      </w:r>
      <w:r w:rsidR="00126C9B">
        <w:rPr>
          <w:lang w:eastAsia="pl-PL"/>
        </w:rPr>
        <w:t xml:space="preserve"> przedsiębiorstwem</w:t>
      </w:r>
      <w:r w:rsidR="001207FB">
        <w:rPr>
          <w:lang w:eastAsia="pl-PL"/>
        </w:rPr>
        <w:t>.</w:t>
      </w:r>
    </w:p>
    <w:p w14:paraId="491E9AA3" w14:textId="77777777" w:rsidR="001207FB" w:rsidRPr="00DB6B7A" w:rsidRDefault="001207FB" w:rsidP="00626CD2">
      <w:pPr>
        <w:pStyle w:val="Nagwek1"/>
        <w:numPr>
          <w:ilvl w:val="0"/>
          <w:numId w:val="21"/>
        </w:numPr>
        <w:rPr>
          <w:szCs w:val="22"/>
        </w:rPr>
      </w:pPr>
      <w:r w:rsidRPr="00DB6B7A">
        <w:rPr>
          <w:szCs w:val="22"/>
        </w:rPr>
        <w:t>Wymogi dotyczące Inwestycji Końcowych</w:t>
      </w:r>
    </w:p>
    <w:p w14:paraId="361F3156" w14:textId="77777777" w:rsidR="001956FC" w:rsidRPr="00FB6DE6" w:rsidRDefault="004639AD" w:rsidP="00910176">
      <w:pPr>
        <w:pStyle w:val="Akapitzlist"/>
        <w:numPr>
          <w:ilvl w:val="0"/>
          <w:numId w:val="15"/>
        </w:numPr>
        <w:spacing w:after="120" w:line="23" w:lineRule="atLeast"/>
        <w:ind w:left="567"/>
        <w:contextualSpacing w:val="0"/>
        <w:jc w:val="both"/>
        <w:rPr>
          <w:rFonts w:cs="Calibri"/>
          <w:color w:val="000000"/>
          <w:lang w:eastAsia="pl-PL"/>
        </w:rPr>
      </w:pPr>
      <w:r w:rsidRPr="00FB6DE6">
        <w:rPr>
          <w:rFonts w:cs="Calibri"/>
          <w:color w:val="000000"/>
          <w:lang w:eastAsia="pl-PL"/>
        </w:rPr>
        <w:t>Inwestycje mogą być realizowane wyłącznie na terenie województwa warmińsko-mazurskiego.</w:t>
      </w:r>
    </w:p>
    <w:p w14:paraId="65B48D14" w14:textId="77777777" w:rsidR="001956FC" w:rsidRPr="001956FC" w:rsidRDefault="001956FC" w:rsidP="00910176">
      <w:pPr>
        <w:pStyle w:val="Akapitzlist"/>
        <w:numPr>
          <w:ilvl w:val="0"/>
          <w:numId w:val="15"/>
        </w:numPr>
        <w:spacing w:after="120" w:line="23" w:lineRule="atLeast"/>
        <w:ind w:left="567" w:hanging="357"/>
        <w:contextualSpacing w:val="0"/>
        <w:jc w:val="both"/>
        <w:rPr>
          <w:rFonts w:cs="Calibri"/>
        </w:rPr>
      </w:pPr>
      <w:r w:rsidRPr="00FB6DE6">
        <w:rPr>
          <w:rFonts w:cs="Calibri"/>
          <w:color w:val="000000"/>
          <w:lang w:eastAsia="pl-PL"/>
        </w:rPr>
        <w:t>Inwestycje Końcowe muszą wypełniać warunek, że  produkcja energii będzie oparta o jednostki wykorzystujące</w:t>
      </w:r>
      <w:r w:rsidRPr="00FB6DE6">
        <w:rPr>
          <w:rFonts w:cs="Calibri"/>
        </w:rPr>
        <w:t xml:space="preserve"> energię pochodzącą ze słońca (przede wszystkim systemy fotowoltaiczne),</w:t>
      </w:r>
      <w:r w:rsidRPr="001956FC">
        <w:rPr>
          <w:rFonts w:eastAsia="Times New Roman"/>
          <w:iCs/>
          <w:lang w:eastAsia="pl-PL"/>
        </w:rPr>
        <w:t xml:space="preserve"> biomasy, biogazu, </w:t>
      </w:r>
      <w:proofErr w:type="spellStart"/>
      <w:r w:rsidRPr="001956FC">
        <w:rPr>
          <w:rFonts w:eastAsia="Times New Roman"/>
          <w:iCs/>
          <w:lang w:eastAsia="pl-PL"/>
        </w:rPr>
        <w:t>biometanu</w:t>
      </w:r>
      <w:proofErr w:type="spellEnd"/>
      <w:r w:rsidRPr="001956FC">
        <w:rPr>
          <w:rFonts w:eastAsia="Times New Roman"/>
          <w:iCs/>
          <w:lang w:eastAsia="pl-PL"/>
        </w:rPr>
        <w:t xml:space="preserve">, wiatru, wody lub innych źródeł odnawialnych (np. energia geotermalna, pompy ciepła), przy czym: </w:t>
      </w:r>
    </w:p>
    <w:p w14:paraId="5A951420" w14:textId="77777777" w:rsidR="001956FC" w:rsidRPr="001956FC" w:rsidRDefault="001956FC" w:rsidP="00910176">
      <w:pPr>
        <w:numPr>
          <w:ilvl w:val="0"/>
          <w:numId w:val="11"/>
        </w:numPr>
        <w:contextualSpacing/>
        <w:jc w:val="both"/>
      </w:pPr>
      <w:r w:rsidRPr="001956FC">
        <w:t>w przypadku wytwarzania energii elektrycznej dofinansowanie co do zasady mogą uzyskać źródła OZE o mocy:</w:t>
      </w:r>
    </w:p>
    <w:p w14:paraId="243203FE" w14:textId="77777777" w:rsidR="001956FC" w:rsidRPr="001956FC" w:rsidRDefault="001956FC" w:rsidP="00910176">
      <w:pPr>
        <w:numPr>
          <w:ilvl w:val="0"/>
          <w:numId w:val="12"/>
        </w:numPr>
        <w:contextualSpacing/>
        <w:jc w:val="both"/>
      </w:pPr>
      <w:r w:rsidRPr="001956FC">
        <w:t xml:space="preserve">dla wiatru nie więcej niż 5 </w:t>
      </w:r>
      <w:proofErr w:type="spellStart"/>
      <w:r w:rsidRPr="001956FC">
        <w:t>MWe</w:t>
      </w:r>
      <w:proofErr w:type="spellEnd"/>
      <w:r w:rsidRPr="001956FC">
        <w:t>,</w:t>
      </w:r>
    </w:p>
    <w:p w14:paraId="2DCFDE1F" w14:textId="77777777" w:rsidR="001956FC" w:rsidRPr="001956FC" w:rsidRDefault="001956FC" w:rsidP="00910176">
      <w:pPr>
        <w:numPr>
          <w:ilvl w:val="0"/>
          <w:numId w:val="12"/>
        </w:numPr>
        <w:contextualSpacing/>
        <w:jc w:val="both"/>
      </w:pPr>
      <w:r w:rsidRPr="001956FC">
        <w:t xml:space="preserve">dla biomasy nie więcej niż 5 </w:t>
      </w:r>
      <w:proofErr w:type="spellStart"/>
      <w:r w:rsidRPr="001956FC">
        <w:t>MWe</w:t>
      </w:r>
      <w:proofErr w:type="spellEnd"/>
      <w:r w:rsidRPr="001956FC">
        <w:t>,</w:t>
      </w:r>
    </w:p>
    <w:p w14:paraId="1A89239B" w14:textId="77777777" w:rsidR="001956FC" w:rsidRPr="001956FC" w:rsidRDefault="001956FC" w:rsidP="00910176">
      <w:pPr>
        <w:numPr>
          <w:ilvl w:val="0"/>
          <w:numId w:val="12"/>
        </w:numPr>
        <w:contextualSpacing/>
        <w:jc w:val="both"/>
      </w:pPr>
      <w:r w:rsidRPr="001956FC">
        <w:t xml:space="preserve">dla biogazu nie więcej niż 0,5 </w:t>
      </w:r>
      <w:proofErr w:type="spellStart"/>
      <w:r w:rsidRPr="001956FC">
        <w:t>MWe</w:t>
      </w:r>
      <w:proofErr w:type="spellEnd"/>
      <w:r w:rsidRPr="001956FC">
        <w:t>,</w:t>
      </w:r>
    </w:p>
    <w:p w14:paraId="1A27AAB5" w14:textId="77777777" w:rsidR="001956FC" w:rsidRPr="001956FC" w:rsidRDefault="001956FC" w:rsidP="00910176">
      <w:pPr>
        <w:numPr>
          <w:ilvl w:val="0"/>
          <w:numId w:val="12"/>
        </w:numPr>
        <w:contextualSpacing/>
        <w:jc w:val="both"/>
      </w:pPr>
      <w:r w:rsidRPr="001956FC">
        <w:lastRenderedPageBreak/>
        <w:t xml:space="preserve">dla wody nie więcej niż 5 </w:t>
      </w:r>
      <w:proofErr w:type="spellStart"/>
      <w:r w:rsidRPr="001956FC">
        <w:t>MWe</w:t>
      </w:r>
      <w:proofErr w:type="spellEnd"/>
      <w:r w:rsidRPr="001956FC">
        <w:t>,</w:t>
      </w:r>
    </w:p>
    <w:p w14:paraId="7ECC9A79" w14:textId="77777777" w:rsidR="001956FC" w:rsidRPr="001956FC" w:rsidRDefault="001956FC" w:rsidP="00910176">
      <w:pPr>
        <w:numPr>
          <w:ilvl w:val="0"/>
          <w:numId w:val="12"/>
        </w:numPr>
        <w:spacing w:after="120"/>
        <w:ind w:left="1916" w:hanging="357"/>
        <w:contextualSpacing/>
        <w:jc w:val="both"/>
      </w:pPr>
      <w:r w:rsidRPr="001956FC">
        <w:t xml:space="preserve">dla promieniowania słonecznego nie więcej niż 0,5 </w:t>
      </w:r>
      <w:proofErr w:type="spellStart"/>
      <w:r w:rsidRPr="001956FC">
        <w:t>MWe</w:t>
      </w:r>
      <w:proofErr w:type="spellEnd"/>
      <w:r w:rsidRPr="001956FC">
        <w:t>,</w:t>
      </w:r>
    </w:p>
    <w:p w14:paraId="0A4F010E" w14:textId="77777777" w:rsidR="001956FC" w:rsidRPr="001956FC" w:rsidRDefault="001956FC" w:rsidP="00910176">
      <w:pPr>
        <w:numPr>
          <w:ilvl w:val="0"/>
          <w:numId w:val="11"/>
        </w:numPr>
        <w:contextualSpacing/>
        <w:jc w:val="both"/>
      </w:pPr>
      <w:r w:rsidRPr="001956FC">
        <w:t>w przypadku wytwarzania energii cieplnej dofinansowanie co do zasady mogą uzyskać źródła OZE o mocy;</w:t>
      </w:r>
    </w:p>
    <w:p w14:paraId="13E83B8C" w14:textId="77777777" w:rsidR="001956FC" w:rsidRPr="001956FC" w:rsidRDefault="001956FC" w:rsidP="00910176">
      <w:pPr>
        <w:numPr>
          <w:ilvl w:val="0"/>
          <w:numId w:val="14"/>
        </w:numPr>
        <w:contextualSpacing/>
        <w:jc w:val="both"/>
      </w:pPr>
      <w:r w:rsidRPr="001956FC">
        <w:t xml:space="preserve">dla biomasy nie więcej niż 5 </w:t>
      </w:r>
      <w:proofErr w:type="spellStart"/>
      <w:r w:rsidRPr="001956FC">
        <w:t>MWth</w:t>
      </w:r>
      <w:proofErr w:type="spellEnd"/>
      <w:r w:rsidRPr="001956FC">
        <w:t>,</w:t>
      </w:r>
    </w:p>
    <w:p w14:paraId="4F412BF2" w14:textId="77777777" w:rsidR="001956FC" w:rsidRPr="001956FC" w:rsidRDefault="001956FC" w:rsidP="00910176">
      <w:pPr>
        <w:numPr>
          <w:ilvl w:val="0"/>
          <w:numId w:val="14"/>
        </w:numPr>
        <w:contextualSpacing/>
        <w:jc w:val="both"/>
      </w:pPr>
      <w:r w:rsidRPr="001956FC">
        <w:t xml:space="preserve">dla promieniowania słonecznego nie więcej niż 0,5 </w:t>
      </w:r>
      <w:proofErr w:type="spellStart"/>
      <w:r w:rsidRPr="001956FC">
        <w:t>MWth</w:t>
      </w:r>
      <w:proofErr w:type="spellEnd"/>
      <w:r w:rsidRPr="001956FC">
        <w:t>,</w:t>
      </w:r>
    </w:p>
    <w:p w14:paraId="123FC4B3" w14:textId="77777777" w:rsidR="001956FC" w:rsidRDefault="001956FC" w:rsidP="00910176">
      <w:pPr>
        <w:numPr>
          <w:ilvl w:val="0"/>
          <w:numId w:val="14"/>
        </w:numPr>
        <w:contextualSpacing/>
        <w:jc w:val="both"/>
      </w:pPr>
      <w:r w:rsidRPr="001956FC">
        <w:t xml:space="preserve">dla geotermii nie więcej niż 2 </w:t>
      </w:r>
      <w:proofErr w:type="spellStart"/>
      <w:r w:rsidRPr="001956FC">
        <w:t>MWth</w:t>
      </w:r>
      <w:proofErr w:type="spellEnd"/>
      <w:r w:rsidRPr="001956FC">
        <w:t>,</w:t>
      </w:r>
    </w:p>
    <w:p w14:paraId="3369BC14" w14:textId="77777777" w:rsidR="006E38B6" w:rsidRDefault="001956FC" w:rsidP="00910176">
      <w:pPr>
        <w:numPr>
          <w:ilvl w:val="0"/>
          <w:numId w:val="14"/>
        </w:numPr>
        <w:spacing w:after="120"/>
        <w:ind w:left="1916" w:hanging="357"/>
        <w:contextualSpacing/>
        <w:jc w:val="both"/>
      </w:pPr>
      <w:r w:rsidRPr="001956FC">
        <w:t xml:space="preserve">dla biogazu nie więcej niż 0,5 </w:t>
      </w:r>
      <w:proofErr w:type="spellStart"/>
      <w:r w:rsidRPr="001956FC">
        <w:t>MWth</w:t>
      </w:r>
      <w:proofErr w:type="spellEnd"/>
    </w:p>
    <w:p w14:paraId="7A6115D1" w14:textId="77777777" w:rsidR="001956FC" w:rsidRPr="006E38B6" w:rsidRDefault="001956FC" w:rsidP="00910176">
      <w:pPr>
        <w:pStyle w:val="Akapitzlist"/>
        <w:numPr>
          <w:ilvl w:val="0"/>
          <w:numId w:val="15"/>
        </w:numPr>
        <w:spacing w:after="120" w:line="23" w:lineRule="atLeast"/>
        <w:contextualSpacing w:val="0"/>
        <w:jc w:val="both"/>
        <w:rPr>
          <w:rFonts w:cs="Calibri"/>
        </w:rPr>
      </w:pPr>
      <w:r w:rsidRPr="006E38B6">
        <w:rPr>
          <w:rFonts w:cs="Calibri"/>
        </w:rPr>
        <w:t xml:space="preserve">Limity w zakresie maksymalnych mocy określonych w pkt 2 dotyczą sumarycznej mocy wszystkich jednostek wytwórczych danego rodzaju OZE wchodzących w zakres Inwestycji Końcowej. </w:t>
      </w:r>
    </w:p>
    <w:p w14:paraId="798EE8DC" w14:textId="2F98BD00" w:rsidR="001956FC" w:rsidRPr="006E38B6" w:rsidRDefault="001956FC" w:rsidP="00910176">
      <w:pPr>
        <w:pStyle w:val="Akapitzlist"/>
        <w:numPr>
          <w:ilvl w:val="0"/>
          <w:numId w:val="15"/>
        </w:numPr>
        <w:spacing w:after="120" w:line="23" w:lineRule="atLeast"/>
        <w:contextualSpacing w:val="0"/>
        <w:jc w:val="both"/>
        <w:rPr>
          <w:rFonts w:cs="Calibri"/>
        </w:rPr>
      </w:pPr>
      <w:r w:rsidRPr="006E38B6">
        <w:rPr>
          <w:rFonts w:cs="Calibri"/>
        </w:rPr>
        <w:t>Wszystkie planowane w ramach Inwestycji Końcowej działania muszą wynikać ze zidentyfikowanych potrzeb wskazanych w Analizie Wykonalności</w:t>
      </w:r>
      <w:r w:rsidR="00014C34">
        <w:rPr>
          <w:rFonts w:cs="Calibri"/>
        </w:rPr>
        <w:t xml:space="preserve"> dalej „Analiza”</w:t>
      </w:r>
      <w:r w:rsidRPr="006E38B6">
        <w:rPr>
          <w:rFonts w:cs="Calibri"/>
        </w:rPr>
        <w:t>, która musi zostać opracowana i przedstawiona wraz z Wnioskiem przy ubieganiu się o Jednostkową Pożyczkę.</w:t>
      </w:r>
    </w:p>
    <w:p w14:paraId="18A1970D" w14:textId="656E390E" w:rsidR="00014C34" w:rsidRPr="00014C34" w:rsidRDefault="006E38B6" w:rsidP="00910176">
      <w:pPr>
        <w:pStyle w:val="Akapitzlist"/>
        <w:numPr>
          <w:ilvl w:val="0"/>
          <w:numId w:val="15"/>
        </w:numPr>
        <w:spacing w:after="120" w:line="23" w:lineRule="atLeast"/>
        <w:jc w:val="both"/>
        <w:rPr>
          <w:rFonts w:cs="Calibri"/>
        </w:rPr>
      </w:pPr>
      <w:r w:rsidRPr="00014C34">
        <w:rPr>
          <w:rFonts w:cs="Calibri"/>
        </w:rPr>
        <w:t xml:space="preserve">Zestawienie wymagań wobec zastosowanych urządzeń i instalacji </w:t>
      </w:r>
      <w:r w:rsidR="00014C34" w:rsidRPr="00014C34">
        <w:rPr>
          <w:rFonts w:cs="Calibri"/>
        </w:rPr>
        <w:t xml:space="preserve">oraz </w:t>
      </w:r>
      <w:proofErr w:type="spellStart"/>
      <w:r w:rsidR="00014C34" w:rsidRPr="00014C34">
        <w:rPr>
          <w:rFonts w:cs="Calibri"/>
        </w:rPr>
        <w:t>anazliz</w:t>
      </w:r>
      <w:proofErr w:type="spellEnd"/>
      <w:r w:rsidRPr="00014C34">
        <w:rPr>
          <w:rFonts w:cs="Calibri"/>
        </w:rPr>
        <w:t xml:space="preserve"> znajduje się w dokumencie „Przewodnik do sporządzania analizy wykonalności – projekty w odnawialne źródła energii (OZE) finansowane z funduszy europejskich w ramach polityki spójności na lata 2021-2027” dostępny</w:t>
      </w:r>
      <w:r w:rsidR="00014C34" w:rsidRPr="00014C34">
        <w:rPr>
          <w:rFonts w:cs="Calibri"/>
        </w:rPr>
        <w:t xml:space="preserve">m pod adresem </w:t>
      </w:r>
      <w:r w:rsidRPr="00014C34">
        <w:rPr>
          <w:rFonts w:cs="Calibri"/>
        </w:rPr>
        <w:t xml:space="preserve"> </w:t>
      </w:r>
      <w:r w:rsidR="00014C34" w:rsidRPr="00014C34">
        <w:rPr>
          <w:rFonts w:cs="Calibri"/>
        </w:rPr>
        <w:t>https://www.bgk.pl/programy-i-fundusze/fundusze/fundusze-europejskie/projekty/fundusze-europejskie-dla-regionow-2021-</w:t>
      </w:r>
    </w:p>
    <w:p w14:paraId="7A883C86" w14:textId="508FB7CF" w:rsidR="006E38B6" w:rsidRPr="006E38B6" w:rsidRDefault="00014C34" w:rsidP="00910176">
      <w:pPr>
        <w:pStyle w:val="Akapitzlist"/>
        <w:spacing w:after="120" w:line="23" w:lineRule="atLeast"/>
        <w:ind w:left="644"/>
        <w:contextualSpacing w:val="0"/>
        <w:jc w:val="both"/>
        <w:rPr>
          <w:rFonts w:cs="Calibri"/>
        </w:rPr>
      </w:pPr>
      <w:r w:rsidRPr="00014C34">
        <w:rPr>
          <w:rFonts w:cs="Calibri"/>
        </w:rPr>
        <w:t>2027/dokumenty-do-pobrania/</w:t>
      </w:r>
    </w:p>
    <w:p w14:paraId="5786E394" w14:textId="77777777" w:rsidR="001956FC" w:rsidRPr="006E38B6" w:rsidRDefault="001956FC" w:rsidP="00910176">
      <w:pPr>
        <w:pStyle w:val="Akapitzlist"/>
        <w:numPr>
          <w:ilvl w:val="0"/>
          <w:numId w:val="15"/>
        </w:numPr>
        <w:spacing w:after="120" w:line="23" w:lineRule="atLeast"/>
        <w:contextualSpacing w:val="0"/>
        <w:jc w:val="both"/>
        <w:rPr>
          <w:rFonts w:cs="Calibri"/>
        </w:rPr>
      </w:pPr>
      <w:r w:rsidRPr="006E38B6">
        <w:rPr>
          <w:rFonts w:cs="Calibri"/>
        </w:rPr>
        <w:t>Pojemność magazynu energii elektrycznej w [kWh] powinna być adekwatna do zapotrzebowania Wnioskodawcy, i nie może być wyższa niż moc instalacji OZE  finansowanej w ramach Inwestycji Końcowej, z zastrzeżeniem dodatkowych ograniczeń, które dotyczą magazynów energii wynikających z Rozporządzenia Komisji (UE) nr 651/2014 z 17 czerwca 2014 r. uznającym niektóre rodzaje pomocy za zgodne z rynkiem wewnętrznym w zastosowaniu art. 107 i 108 Traktatu (o ile pomoc będzie udzielona na jego podstawie).</w:t>
      </w:r>
    </w:p>
    <w:p w14:paraId="6CD58B31" w14:textId="77777777" w:rsidR="001956FC" w:rsidRPr="006E38B6" w:rsidRDefault="001956FC" w:rsidP="00910176">
      <w:pPr>
        <w:pStyle w:val="Akapitzlist"/>
        <w:numPr>
          <w:ilvl w:val="0"/>
          <w:numId w:val="15"/>
        </w:numPr>
        <w:spacing w:after="120" w:line="23" w:lineRule="atLeast"/>
        <w:contextualSpacing w:val="0"/>
        <w:jc w:val="both"/>
        <w:rPr>
          <w:rFonts w:cs="Calibri"/>
        </w:rPr>
      </w:pPr>
      <w:r w:rsidRPr="006E38B6">
        <w:rPr>
          <w:rFonts w:cs="Calibri"/>
        </w:rPr>
        <w:t>Jednostkową Pożyczką nie mogą być finansowane Inwestycje Końcowe polegające wyłącznie na utworzeniu magazynu energii/ciepła.</w:t>
      </w:r>
    </w:p>
    <w:p w14:paraId="5749BC41" w14:textId="77777777" w:rsidR="001956FC" w:rsidRPr="006E38B6" w:rsidRDefault="001956FC" w:rsidP="00910176">
      <w:pPr>
        <w:pStyle w:val="Akapitzlist"/>
        <w:numPr>
          <w:ilvl w:val="0"/>
          <w:numId w:val="15"/>
        </w:numPr>
        <w:spacing w:after="120" w:line="23" w:lineRule="atLeast"/>
        <w:contextualSpacing w:val="0"/>
        <w:jc w:val="both"/>
        <w:rPr>
          <w:rFonts w:cs="Calibri"/>
        </w:rPr>
      </w:pPr>
      <w:r w:rsidRPr="006E38B6">
        <w:rPr>
          <w:rFonts w:cs="Calibri"/>
        </w:rPr>
        <w:t>Inwestycje Końcowe oceniane będą przez pryzmat efektywności kosztowej oraz osiągniętych efektów, w tym redukcji emisji CO2. Jednym z czynników branych pod uwagę przy analizie inwestycji, będzie jej opłacalność.</w:t>
      </w:r>
    </w:p>
    <w:p w14:paraId="42C7E15B" w14:textId="77777777" w:rsidR="001956FC" w:rsidRPr="00DB6B7A" w:rsidRDefault="001956FC" w:rsidP="00910176">
      <w:pPr>
        <w:pStyle w:val="Akapitzlist"/>
        <w:numPr>
          <w:ilvl w:val="0"/>
          <w:numId w:val="15"/>
        </w:numPr>
        <w:spacing w:after="120" w:line="23" w:lineRule="atLeast"/>
        <w:contextualSpacing w:val="0"/>
        <w:jc w:val="both"/>
        <w:rPr>
          <w:rFonts w:cs="Calibri"/>
        </w:rPr>
      </w:pPr>
      <w:r w:rsidRPr="00DB6B7A">
        <w:rPr>
          <w:rFonts w:cs="Calibri"/>
        </w:rPr>
        <w:t>Biomasa i biogaz wykorzystywane do produkcji energii muszą spełniać zasady zrównoważonego rozwoju zgodne z Dyrektywą Parlamentu Europejskiego i Rady UE 2018/2001.</w:t>
      </w:r>
    </w:p>
    <w:p w14:paraId="091D2E70" w14:textId="77777777" w:rsidR="001956FC" w:rsidRPr="00DB6B7A" w:rsidRDefault="001956FC" w:rsidP="00910176">
      <w:pPr>
        <w:pStyle w:val="Akapitzlist"/>
        <w:numPr>
          <w:ilvl w:val="0"/>
          <w:numId w:val="15"/>
        </w:numPr>
        <w:spacing w:after="120" w:line="23" w:lineRule="atLeast"/>
        <w:contextualSpacing w:val="0"/>
        <w:jc w:val="both"/>
        <w:rPr>
          <w:rFonts w:cs="Calibri"/>
        </w:rPr>
      </w:pPr>
      <w:r w:rsidRPr="00DB6B7A">
        <w:rPr>
          <w:rFonts w:cs="Calibri"/>
        </w:rPr>
        <w:t>Inwestycje końcowe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w:t>
      </w:r>
    </w:p>
    <w:p w14:paraId="3F8B3204" w14:textId="1D59302B" w:rsidR="001956FC" w:rsidRPr="00DB6B7A" w:rsidRDefault="001956FC" w:rsidP="00910176">
      <w:pPr>
        <w:pStyle w:val="Akapitzlist"/>
        <w:numPr>
          <w:ilvl w:val="0"/>
          <w:numId w:val="15"/>
        </w:numPr>
        <w:spacing w:after="120" w:line="23" w:lineRule="atLeast"/>
        <w:contextualSpacing w:val="0"/>
        <w:jc w:val="both"/>
        <w:rPr>
          <w:rFonts w:cs="Calibri"/>
        </w:rPr>
      </w:pPr>
      <w:r w:rsidRPr="00DB6B7A">
        <w:rPr>
          <w:rFonts w:cs="Calibri"/>
        </w:rPr>
        <w:t xml:space="preserve">W przypadku Inwestycji Końcowych obejmujących budowę układów hybrydowych, wsparcie będą mogły uzyskać inwestycje obejmujące budowę instalacji opartych na zasilanych przez co najmniej dwa różne źródła energii odnawialnej, w tym </w:t>
      </w:r>
      <w:proofErr w:type="spellStart"/>
      <w:r w:rsidRPr="00DB6B7A">
        <w:rPr>
          <w:rFonts w:cs="Calibri"/>
        </w:rPr>
        <w:t>mikrokogeneracji</w:t>
      </w:r>
      <w:proofErr w:type="spellEnd"/>
      <w:r w:rsidRPr="00DB6B7A">
        <w:rPr>
          <w:rFonts w:cs="Calibri"/>
        </w:rPr>
        <w:t xml:space="preserve">. </w:t>
      </w:r>
    </w:p>
    <w:p w14:paraId="5A0A8730" w14:textId="77777777" w:rsidR="001956FC" w:rsidRPr="00DB6B7A" w:rsidRDefault="001956FC" w:rsidP="00910176">
      <w:pPr>
        <w:pStyle w:val="Akapitzlist"/>
        <w:numPr>
          <w:ilvl w:val="0"/>
          <w:numId w:val="15"/>
        </w:numPr>
        <w:spacing w:after="120" w:line="23" w:lineRule="atLeast"/>
        <w:contextualSpacing w:val="0"/>
        <w:jc w:val="both"/>
        <w:rPr>
          <w:rFonts w:cs="Calibri"/>
        </w:rPr>
      </w:pPr>
      <w:r w:rsidRPr="00DB6B7A">
        <w:rPr>
          <w:rFonts w:cs="Calibri"/>
        </w:rPr>
        <w:t>Nie dopuszcza się montażu instalacji fotowoltaicznej na budynkach, których dachy pokryte są materiałami lub wyrobami zawierającymi azbest.</w:t>
      </w:r>
    </w:p>
    <w:p w14:paraId="60F11E11" w14:textId="77777777" w:rsidR="00DB6B7A" w:rsidRPr="00DB6B7A" w:rsidRDefault="00DB6B7A" w:rsidP="00910176">
      <w:pPr>
        <w:pStyle w:val="Akapitzlist"/>
        <w:numPr>
          <w:ilvl w:val="0"/>
          <w:numId w:val="15"/>
        </w:numPr>
        <w:spacing w:after="120" w:line="23" w:lineRule="atLeast"/>
        <w:contextualSpacing w:val="0"/>
        <w:jc w:val="both"/>
        <w:rPr>
          <w:rFonts w:cs="Calibri"/>
        </w:rPr>
      </w:pPr>
      <w:r w:rsidRPr="00DB6B7A">
        <w:rPr>
          <w:rFonts w:cs="Calibri"/>
        </w:rPr>
        <w:lastRenderedPageBreak/>
        <w:t xml:space="preserve">Jednostkowe Pożyczki udzielane są wyłącznie na te elementy Inwestycji Końcowej, które nie są fizycznie ukończone lub w pełni wdrożone na dzień podjęcia decyzji inwestycyjnej przez </w:t>
      </w:r>
      <w:r w:rsidR="00444696">
        <w:rPr>
          <w:rFonts w:cs="Calibri"/>
        </w:rPr>
        <w:t>Pożyczkodawcę</w:t>
      </w:r>
      <w:r w:rsidRPr="00DB6B7A">
        <w:rPr>
          <w:rFonts w:cs="Calibri"/>
        </w:rPr>
        <w:t xml:space="preserve">. Pod pojęciem decyzji inwestycyjnej należy rozumieć okoliczności wskazane w sekcji 3.9.2 pkt. 2 Wytycznych dotyczących kwalifikowalności wydatków na lata 2021 - 2027. </w:t>
      </w:r>
      <w:r w:rsidR="00444696">
        <w:rPr>
          <w:rFonts w:cs="Calibri"/>
        </w:rPr>
        <w:t>Pożyczkodawca</w:t>
      </w:r>
      <w:r w:rsidRPr="00DB6B7A">
        <w:rPr>
          <w:rFonts w:cs="Calibri"/>
        </w:rPr>
        <w:t xml:space="preserve"> informuje podmiot ubiegający się o Jednostkową Pożyczkę o warunku określonym w niniejszym punkcie.</w:t>
      </w:r>
    </w:p>
    <w:p w14:paraId="1D1B6604" w14:textId="70D2962C" w:rsidR="00751FBA" w:rsidRPr="00AA387D" w:rsidRDefault="00751FBA" w:rsidP="00910176">
      <w:pPr>
        <w:pStyle w:val="Akapitzlist"/>
        <w:numPr>
          <w:ilvl w:val="0"/>
          <w:numId w:val="15"/>
        </w:numPr>
        <w:spacing w:after="120" w:line="23" w:lineRule="atLeast"/>
        <w:contextualSpacing w:val="0"/>
        <w:jc w:val="both"/>
        <w:rPr>
          <w:rFonts w:cs="Calibri"/>
        </w:rPr>
      </w:pPr>
      <w:r w:rsidRPr="00AA387D">
        <w:rPr>
          <w:rFonts w:cs="Calibri"/>
        </w:rPr>
        <w:t xml:space="preserve">Dokumentacja aplikacyjna złożona przez </w:t>
      </w:r>
      <w:r w:rsidR="00AD2BBD">
        <w:rPr>
          <w:rFonts w:cs="Calibri"/>
        </w:rPr>
        <w:t>podmiot ubiegający</w:t>
      </w:r>
      <w:r w:rsidR="00730D48">
        <w:rPr>
          <w:rFonts w:cs="Calibri"/>
        </w:rPr>
        <w:t xml:space="preserve"> się o</w:t>
      </w:r>
      <w:r w:rsidRPr="00AA387D">
        <w:rPr>
          <w:rFonts w:cs="Calibri"/>
        </w:rPr>
        <w:t xml:space="preserve"> </w:t>
      </w:r>
      <w:r w:rsidR="00AD2BBD">
        <w:rPr>
          <w:rFonts w:cs="Calibri"/>
        </w:rPr>
        <w:t xml:space="preserve">Jednostkową </w:t>
      </w:r>
      <w:r w:rsidRPr="00AA387D">
        <w:rPr>
          <w:rFonts w:cs="Calibri"/>
        </w:rPr>
        <w:t xml:space="preserve">Pożyczkę, w tym </w:t>
      </w:r>
      <w:r w:rsidR="00AD2BBD">
        <w:rPr>
          <w:rFonts w:cs="Calibri"/>
        </w:rPr>
        <w:t>W</w:t>
      </w:r>
      <w:r w:rsidRPr="00AA387D">
        <w:rPr>
          <w:rFonts w:cs="Calibri"/>
        </w:rPr>
        <w:t xml:space="preserve">niosek </w:t>
      </w:r>
      <w:r w:rsidR="00AD2BBD">
        <w:rPr>
          <w:rFonts w:cs="Calibri"/>
        </w:rPr>
        <w:t xml:space="preserve">o udzielenie Jednostkowej Pożyczki (dalej: wniosek), Analiza lub inne </w:t>
      </w:r>
      <w:r w:rsidRPr="00AA387D">
        <w:rPr>
          <w:rFonts w:cs="Calibri"/>
        </w:rPr>
        <w:t xml:space="preserve">dokumenty </w:t>
      </w:r>
      <w:r w:rsidR="00AD2BBD">
        <w:rPr>
          <w:rFonts w:cs="Calibri"/>
        </w:rPr>
        <w:t>składane wraz z Wnioskiem</w:t>
      </w:r>
      <w:r w:rsidRPr="00AA387D">
        <w:rPr>
          <w:rFonts w:cs="Calibri"/>
        </w:rPr>
        <w:t>, powinna jednoznacznie wskazywać na typ</w:t>
      </w:r>
      <w:r w:rsidR="00AD2BBD">
        <w:rPr>
          <w:rFonts w:cs="Calibri"/>
        </w:rPr>
        <w:t xml:space="preserve"> Inwestycji Końcowej będącym przedmiotem finansowania </w:t>
      </w:r>
      <w:r w:rsidRPr="00AA387D">
        <w:rPr>
          <w:rFonts w:cs="Calibri"/>
        </w:rPr>
        <w:t xml:space="preserve">oraz powinna być przygotowana w sposób umożliwiający </w:t>
      </w:r>
      <w:r w:rsidR="00730D48">
        <w:rPr>
          <w:rFonts w:cs="Calibri"/>
        </w:rPr>
        <w:t>P</w:t>
      </w:r>
      <w:r w:rsidR="00AD2BBD">
        <w:rPr>
          <w:rFonts w:cs="Calibri"/>
        </w:rPr>
        <w:t xml:space="preserve">artnerowi Finansującemu </w:t>
      </w:r>
      <w:r w:rsidRPr="00AA387D">
        <w:rPr>
          <w:rFonts w:cs="Calibri"/>
        </w:rPr>
        <w:t>dokonanie oceny zgodności przedmiotu i</w:t>
      </w:r>
      <w:r w:rsidR="00730D48">
        <w:rPr>
          <w:rFonts w:cs="Calibri"/>
        </w:rPr>
        <w:t xml:space="preserve"> celu planowanej Inwestycji</w:t>
      </w:r>
      <w:r w:rsidRPr="00AA387D">
        <w:rPr>
          <w:rFonts w:cs="Calibri"/>
        </w:rPr>
        <w:t xml:space="preserve"> </w:t>
      </w:r>
      <w:r w:rsidR="00AD2BBD">
        <w:rPr>
          <w:rFonts w:cs="Calibri"/>
        </w:rPr>
        <w:t>Końcowej</w:t>
      </w:r>
      <w:r w:rsidR="00AD2BBD" w:rsidRPr="00AA387D">
        <w:rPr>
          <w:rFonts w:cs="Calibri"/>
        </w:rPr>
        <w:t xml:space="preserve"> z</w:t>
      </w:r>
      <w:r w:rsidRPr="00AA387D">
        <w:rPr>
          <w:rFonts w:cs="Calibri"/>
        </w:rPr>
        <w:t xml:space="preserve"> tym typem (typami). </w:t>
      </w:r>
    </w:p>
    <w:p w14:paraId="3F257A40" w14:textId="77777777" w:rsidR="00751FBA" w:rsidRPr="00AA387D" w:rsidRDefault="00751FBA" w:rsidP="00910176">
      <w:pPr>
        <w:pStyle w:val="Akapitzlist"/>
        <w:numPr>
          <w:ilvl w:val="0"/>
          <w:numId w:val="15"/>
        </w:numPr>
        <w:spacing w:after="120" w:line="23" w:lineRule="atLeast"/>
        <w:contextualSpacing w:val="0"/>
        <w:jc w:val="both"/>
        <w:rPr>
          <w:rFonts w:cs="Calibri"/>
        </w:rPr>
      </w:pPr>
      <w:r w:rsidRPr="00AA387D">
        <w:rPr>
          <w:rFonts w:cs="Calibri"/>
        </w:rPr>
        <w:t>W przypadku zamiaru zmiany zakres</w:t>
      </w:r>
      <w:r w:rsidR="00730D48">
        <w:rPr>
          <w:rFonts w:cs="Calibri"/>
        </w:rPr>
        <w:t>u rzeczowego Inwestycji</w:t>
      </w:r>
      <w:r w:rsidRPr="00AA387D">
        <w:rPr>
          <w:rFonts w:cs="Calibri"/>
        </w:rPr>
        <w:t xml:space="preserve">, </w:t>
      </w:r>
      <w:r w:rsidR="00730D48">
        <w:rPr>
          <w:rFonts w:cs="Calibri"/>
        </w:rPr>
        <w:t>Pożyczkobiorca</w:t>
      </w:r>
      <w:r w:rsidRPr="00AA387D">
        <w:rPr>
          <w:rFonts w:cs="Calibri"/>
        </w:rPr>
        <w:t xml:space="preserve"> składa stosowny wniosek o akceptac</w:t>
      </w:r>
      <w:r w:rsidR="00730D48">
        <w:rPr>
          <w:rFonts w:cs="Calibri"/>
        </w:rPr>
        <w:t>ję zmiany, a Pożyczkodawca</w:t>
      </w:r>
      <w:r w:rsidRPr="00AA387D">
        <w:rPr>
          <w:rFonts w:cs="Calibri"/>
        </w:rPr>
        <w:t xml:space="preserve"> zobowiązany jest taki wniosek rozpatrzyć. Jeżeli zmianą objęty jest zakres wyszc</w:t>
      </w:r>
      <w:r w:rsidR="00730D48">
        <w:rPr>
          <w:rFonts w:cs="Calibri"/>
        </w:rPr>
        <w:t>zególniony w umowie pożyczki</w:t>
      </w:r>
      <w:r w:rsidRPr="00AA387D">
        <w:rPr>
          <w:rFonts w:cs="Calibri"/>
        </w:rPr>
        <w:t>, zmiana taka dokonywana jest w form</w:t>
      </w:r>
      <w:r w:rsidR="00730D48">
        <w:rPr>
          <w:rFonts w:cs="Calibri"/>
        </w:rPr>
        <w:t>ie aneksu do umowy.</w:t>
      </w:r>
    </w:p>
    <w:p w14:paraId="1BCFB814" w14:textId="77777777" w:rsidR="00751FBA" w:rsidRDefault="00751FBA" w:rsidP="00910176">
      <w:pPr>
        <w:pStyle w:val="Akapitzlist"/>
        <w:numPr>
          <w:ilvl w:val="0"/>
          <w:numId w:val="15"/>
        </w:numPr>
        <w:spacing w:after="120" w:line="23" w:lineRule="atLeast"/>
        <w:contextualSpacing w:val="0"/>
        <w:jc w:val="both"/>
        <w:rPr>
          <w:rFonts w:cs="Calibri"/>
        </w:rPr>
      </w:pPr>
      <w:r w:rsidRPr="00AA387D">
        <w:rPr>
          <w:rFonts w:cs="Calibri"/>
        </w:rPr>
        <w:t>Pożyczka może finansować do 100% wydat</w:t>
      </w:r>
      <w:bookmarkStart w:id="1" w:name="_Hlk138858106"/>
      <w:r w:rsidR="00F5587A">
        <w:rPr>
          <w:rFonts w:cs="Calibri"/>
        </w:rPr>
        <w:t xml:space="preserve">ków w ramach Inwestycji </w:t>
      </w:r>
      <w:r w:rsidR="007E309C" w:rsidRPr="00AA387D">
        <w:rPr>
          <w:rFonts w:cs="Calibri"/>
        </w:rPr>
        <w:t>z zastrzeżeniem zasad dotyczących udzielania pomocy publicznej</w:t>
      </w:r>
      <w:bookmarkEnd w:id="1"/>
      <w:r w:rsidR="007E309C" w:rsidRPr="00AA387D">
        <w:rPr>
          <w:rFonts w:cs="Calibri"/>
        </w:rPr>
        <w:t>.</w:t>
      </w:r>
    </w:p>
    <w:p w14:paraId="0AD58E0B" w14:textId="77777777" w:rsidR="009179E3" w:rsidRPr="00BC6C34" w:rsidRDefault="009179E3" w:rsidP="00910176">
      <w:pPr>
        <w:pStyle w:val="Akapitzlist"/>
        <w:numPr>
          <w:ilvl w:val="0"/>
          <w:numId w:val="15"/>
        </w:numPr>
        <w:spacing w:after="120" w:line="23" w:lineRule="atLeast"/>
        <w:contextualSpacing w:val="0"/>
        <w:jc w:val="both"/>
        <w:rPr>
          <w:rFonts w:cs="Calibri"/>
        </w:rPr>
      </w:pPr>
      <w:r w:rsidRPr="00BC6C34">
        <w:rPr>
          <w:rFonts w:cs="Calibri"/>
        </w:rPr>
        <w:t xml:space="preserve">Pożyczka finansuje wydatki w kwotach brutto, tj. z podatkiem VAT z zastrzeżeniem ust. </w:t>
      </w:r>
      <w:r w:rsidR="00DB6B7A">
        <w:rPr>
          <w:rFonts w:cs="Calibri"/>
        </w:rPr>
        <w:t>18</w:t>
      </w:r>
      <w:r w:rsidRPr="00BC6C34">
        <w:rPr>
          <w:rFonts w:cs="Calibri"/>
        </w:rPr>
        <w:t xml:space="preserve"> i</w:t>
      </w:r>
      <w:r w:rsidR="00730D48">
        <w:rPr>
          <w:rFonts w:cs="Calibri"/>
        </w:rPr>
        <w:t xml:space="preserve"> </w:t>
      </w:r>
      <w:r w:rsidR="00DB6B7A">
        <w:rPr>
          <w:rFonts w:cs="Calibri"/>
        </w:rPr>
        <w:t>19</w:t>
      </w:r>
      <w:r w:rsidRPr="00BC6C34">
        <w:rPr>
          <w:rFonts w:cs="Calibri"/>
        </w:rPr>
        <w:t>.</w:t>
      </w:r>
    </w:p>
    <w:p w14:paraId="3DB6E701" w14:textId="77777777" w:rsidR="009179E3" w:rsidRPr="00BC6C34" w:rsidRDefault="009179E3" w:rsidP="00910176">
      <w:pPr>
        <w:pStyle w:val="Akapitzlist"/>
        <w:numPr>
          <w:ilvl w:val="0"/>
          <w:numId w:val="15"/>
        </w:numPr>
        <w:spacing w:after="120" w:line="23" w:lineRule="atLeast"/>
        <w:contextualSpacing w:val="0"/>
        <w:jc w:val="both"/>
        <w:rPr>
          <w:rFonts w:cs="Calibri"/>
        </w:rPr>
      </w:pPr>
      <w:r w:rsidRPr="00BC6C34">
        <w:rPr>
          <w:rFonts w:cs="Calibri"/>
        </w:rPr>
        <w:t>Dopuszczalność finansowania po</w:t>
      </w:r>
      <w:r w:rsidR="00730D48">
        <w:rPr>
          <w:rFonts w:cs="Calibri"/>
        </w:rPr>
        <w:t>datku VAT w ramach</w:t>
      </w:r>
      <w:r w:rsidRPr="00BC6C34">
        <w:rPr>
          <w:rFonts w:cs="Calibri"/>
        </w:rPr>
        <w:t xml:space="preserve"> Pożyczek może podlegać dodatkowym ograniczeniom wynikającym z zasad udzielania pomocy publicznej.</w:t>
      </w:r>
    </w:p>
    <w:p w14:paraId="2CC8F53F" w14:textId="77777777" w:rsidR="009179E3" w:rsidRPr="00CB68AC" w:rsidRDefault="009179E3" w:rsidP="00910176">
      <w:pPr>
        <w:pStyle w:val="Akapitzlist"/>
        <w:numPr>
          <w:ilvl w:val="0"/>
          <w:numId w:val="15"/>
        </w:numPr>
        <w:spacing w:after="120" w:line="23" w:lineRule="atLeast"/>
        <w:contextualSpacing w:val="0"/>
        <w:jc w:val="both"/>
        <w:rPr>
          <w:rFonts w:cs="Calibri"/>
        </w:rPr>
      </w:pPr>
      <w:r w:rsidRPr="00BC6C34">
        <w:rPr>
          <w:rFonts w:cs="Calibri"/>
        </w:rPr>
        <w:t xml:space="preserve">W </w:t>
      </w:r>
      <w:r w:rsidR="00730D48">
        <w:rPr>
          <w:rFonts w:cs="Calibri"/>
        </w:rPr>
        <w:t>przypadku łączenia</w:t>
      </w:r>
      <w:r w:rsidRPr="00BC6C34">
        <w:rPr>
          <w:rFonts w:cs="Calibri"/>
        </w:rPr>
        <w:t xml:space="preserve"> Pożyczek z innym finansowaniem, należy przestrzegać zasad określonych w sekcji 3.9.3 Wytycznych dotyczących kwalifikowalności wydatków na lata 2021 - 2027 oraz właściwych przepisów dotyczących pomocy publicznej.</w:t>
      </w:r>
    </w:p>
    <w:p w14:paraId="34752A3C" w14:textId="77777777" w:rsidR="001956FC" w:rsidRPr="008A16E5" w:rsidRDefault="001956FC" w:rsidP="00626CD2">
      <w:pPr>
        <w:pStyle w:val="Nagwek1"/>
        <w:numPr>
          <w:ilvl w:val="0"/>
          <w:numId w:val="21"/>
        </w:numPr>
      </w:pPr>
      <w:r w:rsidRPr="001956FC">
        <w:t>Wykluczenia i ograniczenia w finansowaniu</w:t>
      </w:r>
    </w:p>
    <w:p w14:paraId="0DE20A0E" w14:textId="77777777" w:rsidR="001956FC" w:rsidRPr="001956FC" w:rsidRDefault="001956FC" w:rsidP="00910176">
      <w:pPr>
        <w:pStyle w:val="Akapitzlist"/>
        <w:numPr>
          <w:ilvl w:val="0"/>
          <w:numId w:val="16"/>
        </w:numPr>
        <w:spacing w:after="120" w:line="23" w:lineRule="atLeast"/>
        <w:contextualSpacing w:val="0"/>
        <w:jc w:val="both"/>
        <w:rPr>
          <w:rFonts w:cs="Calibri"/>
        </w:rPr>
      </w:pPr>
      <w:r w:rsidRPr="001956FC">
        <w:rPr>
          <w:rFonts w:cs="Calibri"/>
        </w:rPr>
        <w:t>Środki z Jednostkowej Pożyczki nie mogą być przeznaczone na:</w:t>
      </w:r>
    </w:p>
    <w:p w14:paraId="33A86ECA" w14:textId="77777777" w:rsidR="001956FC" w:rsidRPr="001956FC" w:rsidRDefault="001956FC" w:rsidP="00910176">
      <w:pPr>
        <w:numPr>
          <w:ilvl w:val="0"/>
          <w:numId w:val="13"/>
        </w:numPr>
        <w:contextualSpacing/>
        <w:jc w:val="both"/>
      </w:pPr>
      <w:r w:rsidRPr="001956FC">
        <w:t>wydatki i inwestycje objęte wyłączeniem ze wsparcia z Europejskiego Funduszu Rozwoju Regionalnego, wskazanym w art. 7 ust. 1 Rozporządzenia EFRR,</w:t>
      </w:r>
    </w:p>
    <w:p w14:paraId="5FAEFB98" w14:textId="77777777" w:rsidR="001956FC" w:rsidRPr="001956FC" w:rsidRDefault="001956FC" w:rsidP="00910176">
      <w:pPr>
        <w:numPr>
          <w:ilvl w:val="0"/>
          <w:numId w:val="13"/>
        </w:numPr>
        <w:spacing w:before="120" w:after="0"/>
        <w:ind w:left="1066" w:hanging="357"/>
        <w:contextualSpacing/>
        <w:jc w:val="both"/>
        <w:rPr>
          <w:rFonts w:cs="Calibri"/>
        </w:rPr>
      </w:pPr>
      <w:r w:rsidRPr="001956FC">
        <w:rPr>
          <w:rFonts w:cs="Calibri"/>
        </w:rPr>
        <w:t>wydatki wspierające przeniesienie produkcji, o którym mowa w art. 66 Rozporządzenia Ogólnego;</w:t>
      </w:r>
    </w:p>
    <w:p w14:paraId="56F6E99B" w14:textId="77777777" w:rsidR="001956FC" w:rsidRPr="001956FC" w:rsidRDefault="001956FC" w:rsidP="00910176">
      <w:pPr>
        <w:numPr>
          <w:ilvl w:val="0"/>
          <w:numId w:val="13"/>
        </w:numPr>
        <w:spacing w:before="120" w:after="0"/>
        <w:ind w:left="1066" w:hanging="357"/>
        <w:contextualSpacing/>
        <w:jc w:val="both"/>
      </w:pPr>
      <w:r w:rsidRPr="001956FC">
        <w:t>spłatę odsetek od zadłużenia, o których mowa w art. 64 ust. 1 lit. a Rozporządzenia Ogólnego;</w:t>
      </w:r>
    </w:p>
    <w:p w14:paraId="596CD505" w14:textId="77777777" w:rsidR="001956FC" w:rsidRPr="001956FC" w:rsidRDefault="001956FC" w:rsidP="00910176">
      <w:pPr>
        <w:numPr>
          <w:ilvl w:val="0"/>
          <w:numId w:val="13"/>
        </w:numPr>
        <w:spacing w:before="120" w:after="0"/>
        <w:ind w:left="1066" w:hanging="357"/>
        <w:contextualSpacing/>
        <w:jc w:val="both"/>
      </w:pPr>
      <w:r w:rsidRPr="001956FC">
        <w:t xml:space="preserve">prefinansowanie wydatków, w części, na którą </w:t>
      </w:r>
      <w:r w:rsidR="005D3676">
        <w:t>Pożyczkobiorca</w:t>
      </w:r>
      <w:r w:rsidRPr="001956FC">
        <w:t xml:space="preserve"> otrzymał dofinansowanie w formie dotacji;</w:t>
      </w:r>
    </w:p>
    <w:p w14:paraId="3F35085E" w14:textId="77777777" w:rsidR="001956FC" w:rsidRPr="001956FC" w:rsidRDefault="001956FC" w:rsidP="00910176">
      <w:pPr>
        <w:numPr>
          <w:ilvl w:val="0"/>
          <w:numId w:val="13"/>
        </w:numPr>
        <w:spacing w:before="120" w:after="0"/>
        <w:ind w:left="1066" w:hanging="357"/>
        <w:contextualSpacing/>
        <w:jc w:val="both"/>
      </w:pPr>
      <w:r w:rsidRPr="001956FC">
        <w:t xml:space="preserve">refinansowanie pożyczek, kredytów, leasingu lub innych form finansowania, z których korzysta </w:t>
      </w:r>
      <w:r w:rsidR="005D3676">
        <w:t>Pożyczkobiorca</w:t>
      </w:r>
      <w:r w:rsidRPr="001956FC">
        <w:t>;</w:t>
      </w:r>
    </w:p>
    <w:p w14:paraId="708ED909" w14:textId="77777777" w:rsidR="001956FC" w:rsidRPr="001956FC" w:rsidRDefault="001956FC" w:rsidP="00910176">
      <w:pPr>
        <w:numPr>
          <w:ilvl w:val="0"/>
          <w:numId w:val="13"/>
        </w:numPr>
        <w:spacing w:before="120" w:after="0"/>
        <w:ind w:left="1066" w:hanging="357"/>
        <w:contextualSpacing/>
        <w:jc w:val="both"/>
      </w:pPr>
      <w:r w:rsidRPr="001956FC">
        <w:t>finansowanie zakupu aktywów finansowych przeznaczonych do obrotu lub lokowania kapitału;</w:t>
      </w:r>
    </w:p>
    <w:p w14:paraId="332914C6" w14:textId="77777777" w:rsidR="001956FC" w:rsidRPr="001956FC" w:rsidRDefault="001956FC" w:rsidP="00910176">
      <w:pPr>
        <w:numPr>
          <w:ilvl w:val="0"/>
          <w:numId w:val="13"/>
        </w:numPr>
        <w:spacing w:after="120"/>
        <w:ind w:left="1066" w:hanging="357"/>
        <w:contextualSpacing/>
        <w:jc w:val="both"/>
      </w:pPr>
      <w:r w:rsidRPr="001956FC">
        <w:t>finansowanie zakupu nieruchomości.</w:t>
      </w:r>
    </w:p>
    <w:p w14:paraId="4A0EB5FD" w14:textId="77777777" w:rsidR="001956FC" w:rsidRPr="001956FC" w:rsidRDefault="005D3676" w:rsidP="00910176">
      <w:pPr>
        <w:numPr>
          <w:ilvl w:val="0"/>
          <w:numId w:val="16"/>
        </w:numPr>
        <w:spacing w:after="0" w:line="288" w:lineRule="auto"/>
        <w:ind w:left="641" w:hanging="357"/>
        <w:contextualSpacing/>
        <w:jc w:val="both"/>
      </w:pPr>
      <w:r>
        <w:t>Pożyczkobiorca</w:t>
      </w:r>
      <w:r w:rsidR="001956FC" w:rsidRPr="001956FC">
        <w:t xml:space="preserve"> nie może doprowadzić do wystąpienia przypadku więcej niż jednokrotnego, całkowitego lub częściowego – sfinansowania wydatków </w:t>
      </w:r>
      <w:r>
        <w:t>Pożyczkobiorca</w:t>
      </w:r>
      <w:r w:rsidR="001956FC" w:rsidRPr="001956FC">
        <w:t xml:space="preserve"> przedstawionych do </w:t>
      </w:r>
      <w:r w:rsidR="001956FC" w:rsidRPr="001956FC">
        <w:lastRenderedPageBreak/>
        <w:t>rozliczenia jednostkowej pożyczki, w ramach tego samego lub różnych funduszy lub instrumentów wsparcia Unii Europejskiej, w jakiejkolwiek formie (w tym dotacji, pożyczki, gwarancji/poręczenia).</w:t>
      </w:r>
    </w:p>
    <w:p w14:paraId="31687E62" w14:textId="77777777" w:rsidR="00AE1AEE" w:rsidRDefault="006A49EC" w:rsidP="00626CD2">
      <w:pPr>
        <w:pStyle w:val="Nagwek1"/>
        <w:numPr>
          <w:ilvl w:val="0"/>
          <w:numId w:val="21"/>
        </w:numPr>
        <w:spacing w:before="240" w:after="240"/>
        <w:rPr>
          <w:sz w:val="24"/>
        </w:rPr>
      </w:pPr>
      <w:r>
        <w:t>C</w:t>
      </w:r>
      <w:r w:rsidR="00975937">
        <w:t>esja wierzytelności i zabezpieczeń</w:t>
      </w:r>
    </w:p>
    <w:p w14:paraId="10C5366B" w14:textId="77777777" w:rsidR="00975937" w:rsidRPr="00975937" w:rsidRDefault="00975937" w:rsidP="00910176">
      <w:pPr>
        <w:pStyle w:val="Akapitzlist"/>
        <w:numPr>
          <w:ilvl w:val="0"/>
          <w:numId w:val="17"/>
        </w:numPr>
        <w:spacing w:after="120" w:line="23" w:lineRule="atLeast"/>
        <w:contextualSpacing w:val="0"/>
        <w:jc w:val="both"/>
        <w:rPr>
          <w:rFonts w:cs="Calibri"/>
        </w:rPr>
      </w:pPr>
      <w:r w:rsidRPr="00975937">
        <w:rPr>
          <w:rFonts w:cs="Calibri"/>
        </w:rPr>
        <w:t>Pożyczkobiorca przyjmuje do wiadomości, że Pożyczkodawca dokonał przelewu na rzecz Banku Gospodarstwa Krajowego wierzytelności Pożyczkodawcy z tytułu zawartej przez Pożyczkobiorcę umowy pożyczki oraz ustanowionych przez niego zabezpieczeń.</w:t>
      </w:r>
    </w:p>
    <w:p w14:paraId="78C55EEA" w14:textId="77777777" w:rsidR="00975937" w:rsidRPr="00975937" w:rsidRDefault="00975937" w:rsidP="00910176">
      <w:pPr>
        <w:pStyle w:val="Akapitzlist"/>
        <w:numPr>
          <w:ilvl w:val="0"/>
          <w:numId w:val="17"/>
        </w:numPr>
        <w:spacing w:after="120" w:line="23" w:lineRule="atLeast"/>
        <w:contextualSpacing w:val="0"/>
        <w:jc w:val="both"/>
        <w:rPr>
          <w:rFonts w:cs="Calibri"/>
        </w:rPr>
      </w:pPr>
      <w:r w:rsidRPr="00975937">
        <w:rPr>
          <w:rFonts w:cs="Calibri"/>
        </w:rPr>
        <w:t>Przelew wierzytelności Pożyczkobiorcy na rzecz Banku Gospodarstwa Krajowego dokonany został z tzw. Warunkiem zawieszającym tj. skutek prawny tego przelewu, wystąpi z chwilą zajścia okoliczności określonych w umowie zawartej pomiędzy Pożyczkodawcą a Bankiem Gospodarstwa Krajowego. O czym Pożyczkobiorca poinformowany zostanie przez Pożyczkodawcę lub przez Bank Gospodarstwa Krajowego w drodze pisemnej.</w:t>
      </w:r>
    </w:p>
    <w:p w14:paraId="46D7321D" w14:textId="77777777" w:rsidR="00975937" w:rsidRPr="00975937" w:rsidRDefault="00975937" w:rsidP="00910176">
      <w:pPr>
        <w:pStyle w:val="Akapitzlist"/>
        <w:numPr>
          <w:ilvl w:val="0"/>
          <w:numId w:val="17"/>
        </w:numPr>
        <w:spacing w:after="120" w:line="23" w:lineRule="atLeast"/>
        <w:contextualSpacing w:val="0"/>
        <w:jc w:val="both"/>
        <w:rPr>
          <w:rFonts w:cs="Calibri"/>
        </w:rPr>
      </w:pPr>
      <w:r w:rsidRPr="00975937">
        <w:rPr>
          <w:rFonts w:cs="Calibri"/>
        </w:rPr>
        <w:t>Zawiadomienie, o którym mowa w ust. 2. powyżej, zawierało będzie informacje dotyczące w szczególności obowiązku spłaty przez Pożyczkobiorcę rat kapitałowych i odsetek wynikających z harmonogramu spłat jak i innych płatności wynikających z umowy pożyczki, na nowy rachunek wskazany przez Bank Gospodarstwa Krajowego.</w:t>
      </w:r>
    </w:p>
    <w:p w14:paraId="48AA6D28" w14:textId="77777777" w:rsidR="001C3538" w:rsidRDefault="00975937" w:rsidP="00910176">
      <w:pPr>
        <w:pStyle w:val="Akapitzlist"/>
        <w:numPr>
          <w:ilvl w:val="0"/>
          <w:numId w:val="17"/>
        </w:numPr>
        <w:spacing w:after="120" w:line="23" w:lineRule="atLeast"/>
        <w:contextualSpacing w:val="0"/>
        <w:jc w:val="both"/>
      </w:pPr>
      <w:r w:rsidRPr="00975937">
        <w:rPr>
          <w:rFonts w:cs="Calibri"/>
        </w:rPr>
        <w:t>Bank Gospodarstwa Krajowego ma prawo do dokonania dalszych przelewów wymienionych powyżej wierzytelności</w:t>
      </w:r>
      <w:r>
        <w:rPr>
          <w:rStyle w:val="ui-provider"/>
        </w:rPr>
        <w:t xml:space="preserve"> wraz z zabezpieczeniami na inny podmiot.</w:t>
      </w:r>
    </w:p>
    <w:p w14:paraId="4D2A8394" w14:textId="531CFA74" w:rsidR="001C3538" w:rsidRPr="001C3538" w:rsidRDefault="001C3538" w:rsidP="00626CD2">
      <w:pPr>
        <w:pStyle w:val="Nagwek1"/>
        <w:numPr>
          <w:ilvl w:val="0"/>
          <w:numId w:val="21"/>
        </w:numPr>
        <w:spacing w:before="240" w:after="240"/>
      </w:pPr>
      <w:r w:rsidRPr="001C3538">
        <w:t>Zasady obsługi Jednostkowej Pożyczki</w:t>
      </w:r>
    </w:p>
    <w:p w14:paraId="73069BC1" w14:textId="77777777" w:rsidR="001C3538" w:rsidRPr="001C3538" w:rsidRDefault="001C3538" w:rsidP="00910176">
      <w:pPr>
        <w:pStyle w:val="Akapitzlist"/>
        <w:numPr>
          <w:ilvl w:val="0"/>
          <w:numId w:val="23"/>
        </w:numPr>
        <w:spacing w:after="120" w:line="23" w:lineRule="atLeast"/>
        <w:contextualSpacing w:val="0"/>
        <w:jc w:val="both"/>
        <w:rPr>
          <w:rFonts w:cs="Calibri"/>
        </w:rPr>
      </w:pPr>
      <w:r w:rsidRPr="001C3538">
        <w:rPr>
          <w:rFonts w:cs="Calibri"/>
        </w:rPr>
        <w:t>Udzielenie Jednostkowej Pożyczki nie może być uzależnione od zawarcia przez Pożyczkobiorcę z Pożyczkodawcą ani z podmiotem partnerskim lub powiązanym w stosunku do Pożyczkodawcy dodatkowych umów, w szczególności na zakup dodatkowych usług, produktów finansowych lub ubezpieczeniowych. Powyższe nie dotyczy powszechnie występujących na rynku oraz standardowo stosowanych przez Pożyczkodawcę zabezpieczeń, ustanawianych przez Pożyczkobiorcę na rzecz Pożyczkodawcy w związku z zawieraną Umową Inwestycyjną, z zastrzeżeniem, iż w przypadku zabezpieczenia takiego jak cesja praw z polisy ubezpieczeniowej Pożyczkobiorca ma możliwość wyboru oferty spośród ubezpieczycieli dostępnych na rynku.</w:t>
      </w:r>
    </w:p>
    <w:p w14:paraId="5F9236E5" w14:textId="77777777" w:rsidR="001C3538" w:rsidRPr="001C3538" w:rsidRDefault="001C3538" w:rsidP="00910176">
      <w:pPr>
        <w:pStyle w:val="Akapitzlist"/>
        <w:numPr>
          <w:ilvl w:val="0"/>
          <w:numId w:val="23"/>
        </w:numPr>
        <w:spacing w:after="120" w:line="23" w:lineRule="atLeast"/>
        <w:contextualSpacing w:val="0"/>
        <w:jc w:val="both"/>
        <w:rPr>
          <w:rFonts w:cs="Calibri"/>
        </w:rPr>
      </w:pPr>
      <w:r w:rsidRPr="001C3538">
        <w:rPr>
          <w:rFonts w:cs="Calibri"/>
        </w:rPr>
        <w:t>Termin na uruchomienie Jednostkowej Pożyczki (rozumiane jako pierwsza płatność do Pożyczkobiorcy lub do kontrahenta) wynosi 90 dni od dnia zawarcia Umowy Inwestycyjnej. W wyjątkowych i odpowiednio uzasadnionych przez Pożyczkodawcę przypadkach, w tym biorąc pod uwagę rodzaj Inwestycji Końcowej, Menadżer może wyrazić zgodę na uruchomienie Jednostkowej Pożyczki po upływie terminu wskazanego w zdaniu poprzedzającym.</w:t>
      </w:r>
    </w:p>
    <w:p w14:paraId="0750CBBB" w14:textId="77777777" w:rsidR="001C3538" w:rsidRPr="001C3538" w:rsidRDefault="001C3538" w:rsidP="00910176">
      <w:pPr>
        <w:pStyle w:val="Akapitzlist"/>
        <w:numPr>
          <w:ilvl w:val="0"/>
          <w:numId w:val="23"/>
        </w:numPr>
        <w:spacing w:after="120" w:line="23" w:lineRule="atLeast"/>
        <w:contextualSpacing w:val="0"/>
        <w:jc w:val="both"/>
        <w:rPr>
          <w:rFonts w:cs="Calibri"/>
        </w:rPr>
      </w:pPr>
      <w:r w:rsidRPr="001C3538">
        <w:rPr>
          <w:rFonts w:cs="Calibri"/>
        </w:rPr>
        <w:t xml:space="preserve">Wydatkowanie wszystkich środków Jednostkowej Pożyczki na przewidziane cele (bez względu na sposób uruchamiania pożyczki) musi zostać należycie udokumentowane w terminie 180 dni od dnia uruchomienia Jednostkowej Pożyczki (w rozumieniu wskazanym w pkt 8), przy czym termin ten określa datę końcową, do której mogą być wystawiane i opłacone dokumenty potwierdzające wydatkowanie środków. W wyjątkowych i odpowiednio uzasadnionych przypadkach, w tym biorąc pod uwagę charakter Inwestycji Końcowej, na wniosek </w:t>
      </w:r>
      <w:r>
        <w:rPr>
          <w:rFonts w:cs="Calibri"/>
        </w:rPr>
        <w:t>Pożyczkobiorcy</w:t>
      </w:r>
      <w:r w:rsidRPr="001C3538">
        <w:rPr>
          <w:rFonts w:cs="Calibri"/>
        </w:rPr>
        <w:t xml:space="preserve">, </w:t>
      </w:r>
      <w:r>
        <w:rPr>
          <w:rFonts w:cs="Calibri"/>
        </w:rPr>
        <w:t>Pożyczkodawca</w:t>
      </w:r>
      <w:r w:rsidRPr="001C3538">
        <w:rPr>
          <w:rFonts w:cs="Calibri"/>
        </w:rPr>
        <w:t xml:space="preserve"> może wydłużyć ten termin maksymalnie o 90 dni.</w:t>
      </w:r>
    </w:p>
    <w:p w14:paraId="41A484EC" w14:textId="77777777" w:rsidR="001C3538" w:rsidRPr="000750FE" w:rsidRDefault="001C3538" w:rsidP="00910176">
      <w:pPr>
        <w:pStyle w:val="Akapitzlist"/>
        <w:numPr>
          <w:ilvl w:val="0"/>
          <w:numId w:val="23"/>
        </w:numPr>
        <w:spacing w:after="120" w:line="23" w:lineRule="atLeast"/>
        <w:contextualSpacing w:val="0"/>
        <w:jc w:val="both"/>
        <w:rPr>
          <w:rFonts w:cs="Calibri"/>
        </w:rPr>
      </w:pPr>
      <w:r w:rsidRPr="001C3538">
        <w:rPr>
          <w:rFonts w:cs="Calibri"/>
        </w:rPr>
        <w:t xml:space="preserve">Dokumentem </w:t>
      </w:r>
      <w:bookmarkStart w:id="2" w:name="_Hlk168388457"/>
      <w:r w:rsidRPr="001C3538">
        <w:rPr>
          <w:rFonts w:cs="Calibri"/>
        </w:rPr>
        <w:t xml:space="preserve">potwierdzającym wydatkowanie </w:t>
      </w:r>
      <w:bookmarkEnd w:id="2"/>
      <w:r w:rsidRPr="001C3538">
        <w:rPr>
          <w:rFonts w:cs="Calibri"/>
        </w:rPr>
        <w:t xml:space="preserve">środków zgodnie z przeznaczeniem, na jakie zostały przyznane jest faktura lub dokument księgowy o równoważnej wartości dowodowej  </w:t>
      </w:r>
      <w:r w:rsidRPr="001C3538">
        <w:rPr>
          <w:rFonts w:cs="Calibri"/>
        </w:rPr>
        <w:lastRenderedPageBreak/>
        <w:t xml:space="preserve">wraz z dokumentem potwierdzającym dokonanie zapłaty. Dokument, o którym mowa w zdaniu poprzednim powinien być wystawiony nie wcześniej niż w dniu złożenia Wniosku, z zastrzeżeniem spełnienia warunku określonego w Części IV pkt 13., za wyjątkiem dokumentu potwierdzającego wydatkowanie środków na Analizę wykonalności </w:t>
      </w:r>
      <w:r>
        <w:rPr>
          <w:rFonts w:cs="Calibri"/>
        </w:rPr>
        <w:t>któr</w:t>
      </w:r>
      <w:r w:rsidRPr="001C3538">
        <w:rPr>
          <w:rFonts w:cs="Calibri"/>
        </w:rPr>
        <w:t>y może być wystawiony przed dniem złożenia wniosku o udzielenie Jednostkowej Pożyczki. P</w:t>
      </w:r>
      <w:r w:rsidR="00286462">
        <w:rPr>
          <w:rFonts w:cs="Calibri"/>
        </w:rPr>
        <w:t>ożyczkodawca</w:t>
      </w:r>
      <w:r w:rsidRPr="001C3538">
        <w:rPr>
          <w:rFonts w:cs="Calibri"/>
        </w:rPr>
        <w:t xml:space="preserve">, jeżeli uzna to za zasadne, ma prawo żądać od </w:t>
      </w:r>
      <w:r>
        <w:rPr>
          <w:rFonts w:cs="Calibri"/>
        </w:rPr>
        <w:t>Pożyczkobiorcy</w:t>
      </w:r>
      <w:r w:rsidRPr="001C3538">
        <w:rPr>
          <w:rFonts w:cs="Calibri"/>
        </w:rPr>
        <w:t xml:space="preserve"> dodatkowych dokumentów potwierdzających realizację Inwestycji Końcowej lub wydatkowanie </w:t>
      </w:r>
      <w:r w:rsidRPr="000750FE">
        <w:rPr>
          <w:rFonts w:cs="Calibri"/>
        </w:rPr>
        <w:t>Jednostkowej Pożyczki zgodnie z celem na jaki została przyznana.</w:t>
      </w:r>
    </w:p>
    <w:p w14:paraId="5F8C3038" w14:textId="77777777" w:rsidR="001C3538" w:rsidRPr="000750FE" w:rsidRDefault="001C3538" w:rsidP="00910176">
      <w:pPr>
        <w:pStyle w:val="Akapitzlist"/>
        <w:numPr>
          <w:ilvl w:val="0"/>
          <w:numId w:val="23"/>
        </w:numPr>
        <w:spacing w:after="120" w:line="23" w:lineRule="atLeast"/>
        <w:contextualSpacing w:val="0"/>
        <w:jc w:val="both"/>
        <w:rPr>
          <w:rFonts w:cs="Calibri"/>
        </w:rPr>
      </w:pPr>
      <w:r w:rsidRPr="000750FE">
        <w:rPr>
          <w:rFonts w:cs="Calibri"/>
        </w:rPr>
        <w:t>Wraz z dokumentami, o których mowa w pkt. 10, Pożyczkodawca pozyskuje od Pożyczkobiorcy informacje na temat wysokości wniesionego przez niego wkładu własnego do Inwestycji Końcowej (jeśli został wniesiony).</w:t>
      </w:r>
    </w:p>
    <w:p w14:paraId="2022B00F" w14:textId="77777777" w:rsidR="001C3538" w:rsidRPr="001C3538" w:rsidRDefault="001C3538" w:rsidP="00910176">
      <w:pPr>
        <w:pStyle w:val="Akapitzlist"/>
        <w:numPr>
          <w:ilvl w:val="0"/>
          <w:numId w:val="23"/>
        </w:numPr>
        <w:spacing w:after="120" w:line="23" w:lineRule="atLeast"/>
        <w:contextualSpacing w:val="0"/>
        <w:jc w:val="both"/>
        <w:rPr>
          <w:rFonts w:cs="Calibri"/>
        </w:rPr>
      </w:pPr>
      <w:r w:rsidRPr="001C3538">
        <w:rPr>
          <w:rFonts w:cs="Calibri"/>
        </w:rPr>
        <w:t>Po zakończeniu realizacji Inwestycji Końcowej, przeprowadzana jest weryfikacja realizacji rzeczowych założeń Analizy wykonalności, których wykonanie determinowało osiągnięcie celu Inwestycji Końcowej, zgodnie z odpowiednim typem Inwestycji Końcowej.</w:t>
      </w:r>
    </w:p>
    <w:p w14:paraId="6DC8EF83" w14:textId="77777777" w:rsidR="001C3538" w:rsidRPr="001C3538" w:rsidRDefault="001C3538" w:rsidP="00910176">
      <w:pPr>
        <w:pStyle w:val="Akapitzlist"/>
        <w:numPr>
          <w:ilvl w:val="0"/>
          <w:numId w:val="23"/>
        </w:numPr>
        <w:spacing w:after="120" w:line="23" w:lineRule="atLeast"/>
        <w:contextualSpacing w:val="0"/>
        <w:jc w:val="both"/>
        <w:rPr>
          <w:rFonts w:cs="Calibri"/>
        </w:rPr>
      </w:pPr>
      <w:r w:rsidRPr="001C3538">
        <w:rPr>
          <w:rFonts w:cs="Calibri"/>
        </w:rPr>
        <w:t xml:space="preserve">Weryfikacja jest elementem rozliczenia Jednostkowej Pożyczki i ma na celu potwierdzenie: </w:t>
      </w:r>
    </w:p>
    <w:p w14:paraId="50995A0B" w14:textId="77777777" w:rsidR="001C3538" w:rsidRPr="00B0131F" w:rsidRDefault="001C3538" w:rsidP="00910176">
      <w:pPr>
        <w:pStyle w:val="Akapitzlist"/>
        <w:numPr>
          <w:ilvl w:val="0"/>
          <w:numId w:val="2"/>
        </w:numPr>
        <w:spacing w:after="0" w:line="23" w:lineRule="atLeast"/>
        <w:ind w:hanging="357"/>
        <w:contextualSpacing w:val="0"/>
        <w:jc w:val="both"/>
        <w:rPr>
          <w:rFonts w:eastAsia="SimSun"/>
        </w:rPr>
      </w:pPr>
      <w:r w:rsidRPr="00B0131F">
        <w:rPr>
          <w:rFonts w:eastAsia="SimSun"/>
        </w:rPr>
        <w:t xml:space="preserve">realizacji Inwestycji Końcowej </w:t>
      </w:r>
      <w:r w:rsidRPr="00B0131F">
        <w:t>zgodnie z Umową Inwestycyjną oraz pozytywnie zweryfikowanym zakresem rzeczowym podanym we wniosku o pożyczkę;</w:t>
      </w:r>
    </w:p>
    <w:p w14:paraId="26202FBD" w14:textId="77777777" w:rsidR="001C3538" w:rsidRDefault="001C3538" w:rsidP="00910176">
      <w:pPr>
        <w:pStyle w:val="Akapitzlist"/>
        <w:numPr>
          <w:ilvl w:val="0"/>
          <w:numId w:val="2"/>
        </w:numPr>
        <w:spacing w:after="0" w:line="23" w:lineRule="atLeast"/>
        <w:ind w:hanging="357"/>
        <w:contextualSpacing w:val="0"/>
        <w:jc w:val="both"/>
        <w:rPr>
          <w:rFonts w:eastAsia="SimSun"/>
        </w:rPr>
      </w:pPr>
      <w:r w:rsidRPr="00B0131F">
        <w:t>osiągnięcia zakładanych we wniosku o pożyczkę wskaźników produktu i rezultatu - na poziomie nie niższym niż zostało to założone;</w:t>
      </w:r>
    </w:p>
    <w:p w14:paraId="3BD43409" w14:textId="70321ABA" w:rsidR="001C3538" w:rsidRPr="001C3538" w:rsidRDefault="001C3538" w:rsidP="00910176">
      <w:pPr>
        <w:pStyle w:val="Akapitzlist"/>
        <w:numPr>
          <w:ilvl w:val="0"/>
          <w:numId w:val="2"/>
        </w:numPr>
        <w:spacing w:after="0" w:line="23" w:lineRule="atLeast"/>
        <w:ind w:hanging="357"/>
        <w:contextualSpacing w:val="0"/>
        <w:jc w:val="both"/>
        <w:rPr>
          <w:rFonts w:eastAsia="SimSun"/>
        </w:rPr>
      </w:pPr>
      <w:r w:rsidRPr="00B0131F">
        <w:t>prawidłowego wydatkowania środków Jednostkowej Pożyczki w zakresie towarów/usług dotyczących zakresu rzeczowego Inwestycji</w:t>
      </w:r>
      <w:r w:rsidRPr="00D5639C">
        <w:t xml:space="preserve"> Końcowej</w:t>
      </w:r>
      <w:bookmarkStart w:id="3" w:name="_Hlk138866649"/>
      <w:r w:rsidR="009D09D1">
        <w:t xml:space="preserve"> podanego we wniosku o pożyczkę.</w:t>
      </w:r>
    </w:p>
    <w:p w14:paraId="56DD16F5" w14:textId="77777777" w:rsidR="001C3538" w:rsidRPr="001C3538" w:rsidRDefault="001C3538" w:rsidP="00910176">
      <w:pPr>
        <w:pStyle w:val="Akapitzlist"/>
        <w:numPr>
          <w:ilvl w:val="0"/>
          <w:numId w:val="23"/>
        </w:numPr>
        <w:spacing w:after="120" w:line="23" w:lineRule="atLeast"/>
        <w:contextualSpacing w:val="0"/>
        <w:jc w:val="both"/>
        <w:rPr>
          <w:rFonts w:eastAsia="SimSun"/>
        </w:rPr>
      </w:pPr>
      <w:r w:rsidRPr="001C3538">
        <w:rPr>
          <w:rFonts w:eastAsia="Times New Roman" w:cs="Calibri"/>
        </w:rPr>
        <w:t xml:space="preserve">Niedotrzymanie ww. terminu (dot. pkt. </w:t>
      </w:r>
      <w:r>
        <w:rPr>
          <w:rFonts w:eastAsia="Times New Roman" w:cs="Calibri"/>
        </w:rPr>
        <w:t>3</w:t>
      </w:r>
      <w:r w:rsidRPr="001C3538">
        <w:rPr>
          <w:rFonts w:eastAsia="Times New Roman" w:cs="Calibri"/>
        </w:rPr>
        <w:t xml:space="preserve"> powyżej), z uwzględnieniem wspomnianego wyżej wydłużenia (jeśli dotyczy), może skutkować podniesieniem oprocentowania Jednostkowej Pożyczki do poziomu stopy bazowej Komisji Europejskiej, co </w:t>
      </w:r>
      <w:r>
        <w:rPr>
          <w:rFonts w:eastAsia="Times New Roman" w:cs="Calibri"/>
        </w:rPr>
        <w:t>Pożyczkodawca</w:t>
      </w:r>
      <w:r w:rsidRPr="001C3538">
        <w:rPr>
          <w:rFonts w:eastAsia="Times New Roman" w:cs="Calibri"/>
        </w:rPr>
        <w:t xml:space="preserve"> uwzględnia w warunkach Umowy Inwestycyjnej.</w:t>
      </w:r>
      <w:bookmarkEnd w:id="3"/>
    </w:p>
    <w:p w14:paraId="7AC69F19" w14:textId="77777777" w:rsidR="001C3538" w:rsidRPr="00B516EB" w:rsidRDefault="001C3538" w:rsidP="00910176">
      <w:pPr>
        <w:pStyle w:val="Akapitzlist"/>
        <w:numPr>
          <w:ilvl w:val="0"/>
          <w:numId w:val="23"/>
        </w:numPr>
        <w:spacing w:after="120" w:line="23" w:lineRule="atLeast"/>
        <w:contextualSpacing w:val="0"/>
        <w:jc w:val="both"/>
      </w:pPr>
      <w:r w:rsidRPr="00B516EB">
        <w:t>W przypadku dokonywania w ramach Inwestycji Końcowej płatności w formie gotówkowej, płatności takie muszą być dokonywane z poszanowaniem art. 19 Ustawy z dnia 6 marca 2018 r. Prawo przedsiębiorców lub aktu zastępującego, pod rygorem uznania tego rodzaju płatności jako wydatki niekwalifikowalne.</w:t>
      </w:r>
    </w:p>
    <w:p w14:paraId="30D28A14" w14:textId="77777777" w:rsidR="001C3538" w:rsidRDefault="001C3538" w:rsidP="00910176">
      <w:pPr>
        <w:pStyle w:val="Akapitzlist"/>
        <w:numPr>
          <w:ilvl w:val="0"/>
          <w:numId w:val="23"/>
        </w:numPr>
        <w:spacing w:after="120" w:line="23" w:lineRule="atLeast"/>
        <w:contextualSpacing w:val="0"/>
        <w:jc w:val="both"/>
      </w:pPr>
      <w:r w:rsidRPr="00B516EB">
        <w:t xml:space="preserve">Wszelka dokumentacja potwierdzająca wydatkowanie środków przez </w:t>
      </w:r>
      <w:r>
        <w:t>Pożyczkobiorcę</w:t>
      </w:r>
      <w:r w:rsidRPr="00B516EB">
        <w:t xml:space="preserve"> powinna być, co do zasady, sporządzona w języku polskim, a w przypadku dokumentów wystawianych w języku innym niż język polski, w razie istnienia wątpliwości co do treści tych dokumentów, powinna zostać przetłumaczona na język polski.</w:t>
      </w:r>
    </w:p>
    <w:p w14:paraId="1807EED2" w14:textId="77777777" w:rsidR="006E38B6" w:rsidRPr="00223709" w:rsidRDefault="006E38B6" w:rsidP="00626CD2">
      <w:pPr>
        <w:pStyle w:val="Nagwek1"/>
        <w:numPr>
          <w:ilvl w:val="0"/>
          <w:numId w:val="21"/>
        </w:numPr>
        <w:spacing w:before="240" w:after="240"/>
      </w:pPr>
      <w:r w:rsidRPr="00223709">
        <w:t>Zasady odpłatności za udzielenie Jednostkowych Pożyczek</w:t>
      </w:r>
    </w:p>
    <w:p w14:paraId="0361A1B2" w14:textId="77777777" w:rsidR="006E38B6" w:rsidRPr="00DC1432" w:rsidRDefault="006E38B6" w:rsidP="00910176">
      <w:pPr>
        <w:pStyle w:val="Akapitzlist"/>
        <w:numPr>
          <w:ilvl w:val="0"/>
          <w:numId w:val="22"/>
        </w:numPr>
        <w:spacing w:after="120" w:line="23" w:lineRule="atLeast"/>
        <w:contextualSpacing w:val="0"/>
        <w:jc w:val="both"/>
        <w:rPr>
          <w:rFonts w:cs="Calibri"/>
        </w:rPr>
      </w:pPr>
      <w:r w:rsidRPr="00DC1432">
        <w:rPr>
          <w:rFonts w:cs="Calibri"/>
        </w:rPr>
        <w:t xml:space="preserve">Jednostkowe Pożyczki udzielane </w:t>
      </w:r>
      <w:r w:rsidR="009C567D">
        <w:rPr>
          <w:rFonts w:cs="Calibri"/>
        </w:rPr>
        <w:t>Pożyczkobiorcy</w:t>
      </w:r>
      <w:r w:rsidRPr="00DC1432">
        <w:rPr>
          <w:rFonts w:cs="Calibri"/>
        </w:rPr>
        <w:t xml:space="preserve"> mogą być udzielane na warunkach korzystniejszych niż rynkowe lub na warunkach rynkowych.</w:t>
      </w:r>
    </w:p>
    <w:p w14:paraId="5384CE01" w14:textId="77777777" w:rsidR="006E38B6" w:rsidRPr="00DC1432" w:rsidRDefault="006E38B6" w:rsidP="00910176">
      <w:pPr>
        <w:pStyle w:val="Akapitzlist"/>
        <w:numPr>
          <w:ilvl w:val="0"/>
          <w:numId w:val="22"/>
        </w:numPr>
        <w:spacing w:after="120" w:line="23" w:lineRule="atLeast"/>
        <w:contextualSpacing w:val="0"/>
        <w:jc w:val="both"/>
        <w:rPr>
          <w:rFonts w:cs="Calibri"/>
        </w:rPr>
      </w:pPr>
      <w:r w:rsidRPr="00DC1432">
        <w:rPr>
          <w:rFonts w:cs="Calibri"/>
        </w:rPr>
        <w:t xml:space="preserve">Oprocentowanie na zasadach rynkowych ustalane jest w wysokości stopy referencyjnej obliczanej przy zastosowaniu obowiązującej stopy bazowej oraz marży ustalonej w oparciu </w:t>
      </w:r>
      <w:r w:rsidRPr="00DC1432">
        <w:rPr>
          <w:rFonts w:cs="Calibri"/>
        </w:rPr>
        <w:br/>
        <w:t>o Komunikat Komisji Europejskiej z dnia 19 stycznia 2008 r. w sprawie zmiany metody ustalania stóp referencyjnych i dyskontowych lub komunikatu zastępującego.</w:t>
      </w:r>
    </w:p>
    <w:p w14:paraId="28DFD9E0" w14:textId="16667C3D" w:rsidR="006E38B6" w:rsidRPr="00DC1432" w:rsidRDefault="006E38B6" w:rsidP="00910176">
      <w:pPr>
        <w:pStyle w:val="Akapitzlist"/>
        <w:numPr>
          <w:ilvl w:val="0"/>
          <w:numId w:val="22"/>
        </w:numPr>
        <w:spacing w:after="120" w:line="23" w:lineRule="atLeast"/>
        <w:contextualSpacing w:val="0"/>
        <w:jc w:val="both"/>
        <w:rPr>
          <w:rFonts w:cs="Calibri"/>
        </w:rPr>
      </w:pPr>
      <w:r w:rsidRPr="00DC1432">
        <w:rPr>
          <w:rFonts w:cs="Calibri"/>
        </w:rPr>
        <w:t xml:space="preserve">Oprocentowanie Jednostkowej pożyczki na warunkach korzystniejsze niż rynkowe jest stałe w całym okresie jej obowiązywania  i wynosi 1,5% w skali roku z zastrzeżeniem pkt. 4  </w:t>
      </w:r>
    </w:p>
    <w:p w14:paraId="2EB6343A" w14:textId="77777777" w:rsidR="006E38B6" w:rsidRPr="00DC1432" w:rsidRDefault="006E38B6" w:rsidP="00910176">
      <w:pPr>
        <w:pStyle w:val="Akapitzlist"/>
        <w:numPr>
          <w:ilvl w:val="0"/>
          <w:numId w:val="22"/>
        </w:numPr>
        <w:spacing w:after="120" w:line="23" w:lineRule="atLeast"/>
        <w:contextualSpacing w:val="0"/>
        <w:jc w:val="both"/>
        <w:rPr>
          <w:rFonts w:cs="Calibri"/>
        </w:rPr>
      </w:pPr>
      <w:r w:rsidRPr="00DC1432">
        <w:rPr>
          <w:rFonts w:cs="Calibri"/>
        </w:rPr>
        <w:lastRenderedPageBreak/>
        <w:t>W przypadku obniżenia stopy bazowej określonej przez Komisję Europejską do poziomu poniżej 1,5% oprocentowanie Jednostkowej Pożyczki udzielanej na zasadach korzystniejszych niż rynkowe jest stałe w całym okresie jej obowiązywania i ustalone jest w wysokości stopy bazowej dla pożyczek udzielanych w złotych polskich z dnia udzielenia, przy czym wysokość stopy bazowej określona jest przez Komisję Europejską zgodnie z Komunikatem w sprawie zmiany metody ustalania stóp referencyjnych i dyskontowych nr 2008/C 14/02.</w:t>
      </w:r>
    </w:p>
    <w:p w14:paraId="1EFE6459" w14:textId="77777777" w:rsidR="00E92500" w:rsidRDefault="006E38B6" w:rsidP="00910176">
      <w:pPr>
        <w:pStyle w:val="Akapitzlist"/>
        <w:numPr>
          <w:ilvl w:val="0"/>
          <w:numId w:val="22"/>
        </w:numPr>
        <w:spacing w:after="120" w:line="23" w:lineRule="atLeast"/>
        <w:contextualSpacing w:val="0"/>
        <w:jc w:val="both"/>
        <w:rPr>
          <w:rFonts w:cs="Calibri"/>
        </w:rPr>
      </w:pPr>
      <w:r w:rsidRPr="00DC1432">
        <w:rPr>
          <w:rFonts w:cs="Calibri"/>
        </w:rPr>
        <w:t xml:space="preserve">W ramach udzielanych Jednostkowych Pożyczek nie występują opłaty związane z udzieleniem pożyczki i jej standardową obsługą. Czynności wykraczające poza ten zakres, przede wszystkim w przypadku niewywiązywania się przez </w:t>
      </w:r>
      <w:r w:rsidR="009C567D">
        <w:rPr>
          <w:rFonts w:cs="Calibri"/>
        </w:rPr>
        <w:t>Pożyczkobiorcę</w:t>
      </w:r>
      <w:r w:rsidRPr="00DC1432">
        <w:rPr>
          <w:rFonts w:cs="Calibri"/>
        </w:rPr>
        <w:t xml:space="preserve"> z warunków Umowy Inwestycyjnej, występowania nierozliczonych wydatków, zaległości w spłacie, konieczności podejmowania działań windykacyjnych (zgodnie z postanowieniami Umowy), mogą przyczynić się do wystąpienia dodatkowych opłat i kosztów po stronie </w:t>
      </w:r>
      <w:r w:rsidR="009C567D">
        <w:rPr>
          <w:rFonts w:cs="Calibri"/>
        </w:rPr>
        <w:t>Pożyczkobiorcy</w:t>
      </w:r>
      <w:r w:rsidRPr="00DC1432">
        <w:rPr>
          <w:rFonts w:cs="Calibri"/>
        </w:rPr>
        <w:t xml:space="preserve">, co </w:t>
      </w:r>
      <w:r w:rsidR="009C567D">
        <w:rPr>
          <w:rFonts w:cs="Calibri"/>
        </w:rPr>
        <w:t>Pożyczkodawca</w:t>
      </w:r>
      <w:r w:rsidRPr="00DC1432">
        <w:rPr>
          <w:rFonts w:cs="Calibri"/>
        </w:rPr>
        <w:t xml:space="preserve"> powinien określić w postanowieniach Umów Inwestycyjnych oraz w Taryfie opłat i prowizji</w:t>
      </w:r>
      <w:r w:rsidR="00DC1432">
        <w:rPr>
          <w:rFonts w:cs="Calibri"/>
        </w:rPr>
        <w:t>.</w:t>
      </w:r>
    </w:p>
    <w:p w14:paraId="205C648E" w14:textId="77777777" w:rsidR="00E92500" w:rsidRPr="00A26C71" w:rsidRDefault="00E92500" w:rsidP="00626CD2">
      <w:pPr>
        <w:pStyle w:val="Nagwek1"/>
        <w:numPr>
          <w:ilvl w:val="0"/>
          <w:numId w:val="21"/>
        </w:numPr>
        <w:spacing w:before="240" w:after="240"/>
      </w:pPr>
      <w:r w:rsidRPr="00A26C71">
        <w:t>Szczegółowe zasady dotyczące przyznawania umorzeń</w:t>
      </w:r>
    </w:p>
    <w:p w14:paraId="138A543C" w14:textId="0DDE9453" w:rsidR="00E92500" w:rsidRPr="00E92500" w:rsidRDefault="00E92500" w:rsidP="00910176">
      <w:pPr>
        <w:numPr>
          <w:ilvl w:val="0"/>
          <w:numId w:val="20"/>
        </w:numPr>
        <w:tabs>
          <w:tab w:val="num" w:pos="360"/>
        </w:tabs>
        <w:spacing w:after="120" w:line="23" w:lineRule="atLeast"/>
        <w:jc w:val="both"/>
      </w:pPr>
      <w:r w:rsidRPr="00E92500">
        <w:t>Umorzenie nie ma zastosowania dla Inwestycji Końcowych, w ramach których zaplanowano instalacje OZE do  produkcji energii elektrycznej/cieplnej na sprzedaż, o których mowa w Części I</w:t>
      </w:r>
      <w:r w:rsidR="006A49EC">
        <w:t>II</w:t>
      </w:r>
      <w:r w:rsidR="0071335C">
        <w:t xml:space="preserve"> pkt. 1. </w:t>
      </w:r>
      <w:proofErr w:type="spellStart"/>
      <w:r w:rsidR="0071335C">
        <w:t>ppkt</w:t>
      </w:r>
      <w:proofErr w:type="spellEnd"/>
      <w:r w:rsidR="0071335C">
        <w:t>. 2</w:t>
      </w:r>
      <w:r w:rsidRPr="00E92500">
        <w:t>.</w:t>
      </w:r>
    </w:p>
    <w:p w14:paraId="3CCE4190" w14:textId="77777777" w:rsidR="00E92500" w:rsidRPr="00E92500" w:rsidRDefault="00E92500" w:rsidP="00910176">
      <w:pPr>
        <w:numPr>
          <w:ilvl w:val="0"/>
          <w:numId w:val="20"/>
        </w:numPr>
        <w:tabs>
          <w:tab w:val="num" w:pos="360"/>
        </w:tabs>
        <w:spacing w:after="120" w:line="23" w:lineRule="atLeast"/>
        <w:jc w:val="both"/>
      </w:pPr>
      <w:r w:rsidRPr="00E92500">
        <w:t>Podmiot ubiegający się o Jednostkową Pożyczkę określa we Wniosku kwotę umorzenia o jaką wnioskuje, biorąc pod uwagę warunki jego uzyskania określone w Części III.</w:t>
      </w:r>
    </w:p>
    <w:p w14:paraId="4FB5FAE4" w14:textId="77777777" w:rsidR="00E92500" w:rsidRPr="00E92500" w:rsidRDefault="00E92500" w:rsidP="00910176">
      <w:pPr>
        <w:numPr>
          <w:ilvl w:val="0"/>
          <w:numId w:val="20"/>
        </w:numPr>
        <w:tabs>
          <w:tab w:val="num" w:pos="360"/>
        </w:tabs>
        <w:spacing w:after="120" w:line="23" w:lineRule="atLeast"/>
        <w:jc w:val="both"/>
      </w:pPr>
      <w:r w:rsidRPr="00E92500">
        <w:t>P</w:t>
      </w:r>
      <w:r w:rsidR="00286462">
        <w:t xml:space="preserve">ożyczkodawca </w:t>
      </w:r>
      <w:r w:rsidRPr="00E92500">
        <w:t xml:space="preserve">w ramach oceny dokumentacji aplikacyjnej weryfikuje spełnienie przez </w:t>
      </w:r>
      <w:r w:rsidR="00286462">
        <w:t>Pożyczkobiorcę</w:t>
      </w:r>
      <w:r w:rsidRPr="00E92500">
        <w:t xml:space="preserve"> warunków umożliwiających udzielenie umorzenia.</w:t>
      </w:r>
    </w:p>
    <w:p w14:paraId="1366E4E8" w14:textId="2EECFD35" w:rsidR="00E92500" w:rsidRPr="00E92500" w:rsidRDefault="00E92500" w:rsidP="00910176">
      <w:pPr>
        <w:numPr>
          <w:ilvl w:val="0"/>
          <w:numId w:val="20"/>
        </w:numPr>
        <w:tabs>
          <w:tab w:val="num" w:pos="360"/>
        </w:tabs>
        <w:spacing w:after="120" w:line="23" w:lineRule="atLeast"/>
        <w:jc w:val="both"/>
      </w:pPr>
      <w:r w:rsidRPr="00E92500">
        <w:t>W przypadku spełniania warunków do przyznania umorzenia, w Umowie Inwestycyjnej określana jest kwota przyznanego umorzenia w odniesieniu do danej Jednostkowej Pożyczki i warunki zastosowania określone poniżej.</w:t>
      </w:r>
    </w:p>
    <w:p w14:paraId="6D685738" w14:textId="77777777" w:rsidR="00E92500" w:rsidRPr="00E92500" w:rsidRDefault="00E92500" w:rsidP="00910176">
      <w:pPr>
        <w:numPr>
          <w:ilvl w:val="0"/>
          <w:numId w:val="20"/>
        </w:numPr>
        <w:tabs>
          <w:tab w:val="num" w:pos="360"/>
        </w:tabs>
        <w:spacing w:after="120" w:line="23" w:lineRule="atLeast"/>
        <w:jc w:val="both"/>
      </w:pPr>
      <w:r w:rsidRPr="00E92500">
        <w:t xml:space="preserve">Umorzenie stanowi pomoc de </w:t>
      </w:r>
      <w:proofErr w:type="spellStart"/>
      <w:r w:rsidRPr="00E92500">
        <w:t>minimis</w:t>
      </w:r>
      <w:proofErr w:type="spellEnd"/>
      <w:r w:rsidRPr="00E92500">
        <w:t xml:space="preserve"> albo pomoc publiczną, która może być udzielona, jeżeli spełnione są warunki przewidziane dla danej pomocy. Kwota umorzenia stanowi jednocześnie wartość udzielonej z tego tytułu pomocy. </w:t>
      </w:r>
      <w:r w:rsidR="006A49EC">
        <w:t>Pożyczkobiorca</w:t>
      </w:r>
      <w:r w:rsidRPr="00E92500">
        <w:t xml:space="preserve"> uzyskuje prawo do otrzymania pomocy w formie umorzenia na podstawie zawartej Umowy Inwestycyjnej, z zastrzeżeniem pkt. 7-9.</w:t>
      </w:r>
    </w:p>
    <w:p w14:paraId="56E6EF5C" w14:textId="77777777" w:rsidR="00E92500" w:rsidRPr="00E92500" w:rsidRDefault="00E92500" w:rsidP="00910176">
      <w:pPr>
        <w:numPr>
          <w:ilvl w:val="0"/>
          <w:numId w:val="20"/>
        </w:numPr>
        <w:tabs>
          <w:tab w:val="num" w:pos="360"/>
        </w:tabs>
        <w:spacing w:after="120" w:line="23" w:lineRule="atLeast"/>
        <w:jc w:val="both"/>
      </w:pPr>
      <w:r w:rsidRPr="00E92500">
        <w:t xml:space="preserve">Z zastrzeżeniem pkt. 8, umorzenie ustalonej w Umowie Inwestycyjnej kwoty kapitału Jednostkowej Pożyczki następuje po zakończeniu realizacji Inwestycji Końcowej, przedstawieniu przez </w:t>
      </w:r>
      <w:r w:rsidR="006A49EC">
        <w:t>Pożyczkobiorcę</w:t>
      </w:r>
      <w:r w:rsidRPr="00E92500">
        <w:t xml:space="preserve"> dokumentów potwierdzających wydatkowanie środków zgodnie z przeznaczeniem (oraz ewentualnych innych dokumentów – jeśli dotyczy) i zweryfikowaniu kwalifikowalności tych wydatków przez </w:t>
      </w:r>
      <w:r w:rsidR="006A49EC">
        <w:t>Pożyczkodawcę</w:t>
      </w:r>
      <w:r w:rsidRPr="00E92500">
        <w:t>.</w:t>
      </w:r>
    </w:p>
    <w:p w14:paraId="74798B8A" w14:textId="54BAB7EA" w:rsidR="00E92500" w:rsidRPr="00E92500" w:rsidRDefault="00E92500" w:rsidP="00910176">
      <w:pPr>
        <w:numPr>
          <w:ilvl w:val="0"/>
          <w:numId w:val="20"/>
        </w:numPr>
        <w:tabs>
          <w:tab w:val="num" w:pos="360"/>
        </w:tabs>
        <w:spacing w:after="120" w:line="23" w:lineRule="atLeast"/>
        <w:jc w:val="both"/>
      </w:pPr>
      <w:r w:rsidRPr="00E92500">
        <w:t xml:space="preserve">Umorzenie dokonywane jest wyłącznie na kapitale Jednostkowej Pożyczki w części wkładu pochodzącego z Europejskiego Funduszu Rozwoju Regionalnego i wynosi nie więcej niż 30%  EFRR. Umorzenie </w:t>
      </w:r>
      <w:r w:rsidRPr="00E92500">
        <w:rPr>
          <w:iCs/>
        </w:rPr>
        <w:t>nie może przekroczyć kwoty kapitału pozostałej do spłaty przypisanej do tego źródła finansowania na dzień dokonania umorzenia.</w:t>
      </w:r>
    </w:p>
    <w:p w14:paraId="75EB1548" w14:textId="77777777" w:rsidR="00E92500" w:rsidRPr="00E92500" w:rsidRDefault="00E92500" w:rsidP="00910176">
      <w:pPr>
        <w:numPr>
          <w:ilvl w:val="0"/>
          <w:numId w:val="20"/>
        </w:numPr>
        <w:tabs>
          <w:tab w:val="num" w:pos="360"/>
        </w:tabs>
        <w:contextualSpacing/>
        <w:jc w:val="both"/>
      </w:pPr>
      <w:r w:rsidRPr="00E92500">
        <w:t>W przypadku gdy:</w:t>
      </w:r>
    </w:p>
    <w:p w14:paraId="569C5794" w14:textId="77777777" w:rsidR="00E92500" w:rsidRPr="00E92500" w:rsidRDefault="00E92500" w:rsidP="00910176">
      <w:pPr>
        <w:numPr>
          <w:ilvl w:val="3"/>
          <w:numId w:val="19"/>
        </w:numPr>
        <w:tabs>
          <w:tab w:val="left" w:pos="567"/>
        </w:tabs>
        <w:ind w:left="851" w:hanging="284"/>
        <w:contextualSpacing/>
        <w:jc w:val="both"/>
        <w:rPr>
          <w:color w:val="000000"/>
        </w:rPr>
      </w:pPr>
      <w:r w:rsidRPr="00E92500">
        <w:rPr>
          <w:color w:val="000000"/>
        </w:rPr>
        <w:t>nie dojdzie do wypłaty całej kwoty Jednostkowej Pożyczki,</w:t>
      </w:r>
    </w:p>
    <w:p w14:paraId="46D89C50" w14:textId="77777777" w:rsidR="00E92500" w:rsidRPr="00E92500" w:rsidRDefault="006A49EC" w:rsidP="00910176">
      <w:pPr>
        <w:numPr>
          <w:ilvl w:val="3"/>
          <w:numId w:val="19"/>
        </w:numPr>
        <w:tabs>
          <w:tab w:val="left" w:pos="567"/>
        </w:tabs>
        <w:ind w:left="851" w:hanging="284"/>
        <w:contextualSpacing/>
        <w:jc w:val="both"/>
        <w:rPr>
          <w:color w:val="000000"/>
        </w:rPr>
      </w:pPr>
      <w:r>
        <w:rPr>
          <w:color w:val="000000"/>
        </w:rPr>
        <w:t>Pożyczkobiorca</w:t>
      </w:r>
      <w:r w:rsidR="00E92500" w:rsidRPr="00E92500">
        <w:rPr>
          <w:color w:val="000000"/>
        </w:rPr>
        <w:t xml:space="preserve"> nie wykorzysta części wypłaconych na jego rzecz środków Jednostkowej Pożyczki,</w:t>
      </w:r>
    </w:p>
    <w:p w14:paraId="7EF170D7" w14:textId="77777777" w:rsidR="00E92500" w:rsidRPr="00E92500" w:rsidRDefault="00E92500" w:rsidP="00910176">
      <w:pPr>
        <w:numPr>
          <w:ilvl w:val="3"/>
          <w:numId w:val="19"/>
        </w:numPr>
        <w:tabs>
          <w:tab w:val="left" w:pos="567"/>
        </w:tabs>
        <w:spacing w:after="0"/>
        <w:ind w:left="851" w:hanging="284"/>
        <w:contextualSpacing/>
        <w:jc w:val="both"/>
        <w:rPr>
          <w:color w:val="000000"/>
        </w:rPr>
      </w:pPr>
      <w:r w:rsidRPr="00E92500">
        <w:rPr>
          <w:color w:val="000000"/>
        </w:rPr>
        <w:lastRenderedPageBreak/>
        <w:t>część wydatków poniesionych w ramach Jednostkowej Pożyczki nie będzie spełniała Zasad Kwalifikowalności,</w:t>
      </w:r>
    </w:p>
    <w:p w14:paraId="0F82E8C3" w14:textId="77777777" w:rsidR="00E92500" w:rsidRPr="00E92500" w:rsidRDefault="00E92500" w:rsidP="00910176">
      <w:pPr>
        <w:ind w:left="567"/>
        <w:jc w:val="both"/>
      </w:pPr>
      <w:r w:rsidRPr="00E92500">
        <w:t>- kwota umorzenia ulega odpowiedniemu obniżeniu i jest ustalana w oparciu o kwotę Jednostkowej Pożyczki wypłaconej i wykorzystanej na wydatki spełniające Zasady Kwalifikowalności, chyba że, ze względu na okoliczności wskazane w lit. a-c, cała Jednostkowa Pożyczka nie może być uznana za spełniającą Zasady Kwalifikowalności, co skutkuje brakiem możliwości dokonania umorzenia.</w:t>
      </w:r>
    </w:p>
    <w:p w14:paraId="2C282FAC" w14:textId="3AF9FEF2" w:rsidR="00E92500" w:rsidRPr="00E92500" w:rsidRDefault="00E92500" w:rsidP="00910176">
      <w:pPr>
        <w:numPr>
          <w:ilvl w:val="0"/>
          <w:numId w:val="20"/>
        </w:numPr>
        <w:tabs>
          <w:tab w:val="num" w:pos="360"/>
        </w:tabs>
        <w:spacing w:after="120" w:line="23" w:lineRule="atLeast"/>
        <w:jc w:val="both"/>
      </w:pPr>
      <w:r w:rsidRPr="00E92500">
        <w:t>Obniżenie kwoty umorzenia, o którym mowa w pkt.</w:t>
      </w:r>
      <w:r w:rsidR="00910176">
        <w:t xml:space="preserve"> </w:t>
      </w:r>
      <w:r w:rsidRPr="00E92500">
        <w:t xml:space="preserve">8 skutkuje również obowiązkiem dokonania odpowiedniej korekty udzielonej pomocy de </w:t>
      </w:r>
      <w:proofErr w:type="spellStart"/>
      <w:r w:rsidRPr="00E92500">
        <w:t>minimis</w:t>
      </w:r>
      <w:proofErr w:type="spellEnd"/>
      <w:r w:rsidRPr="00E92500">
        <w:t xml:space="preserve"> albo pomocy publicznej.</w:t>
      </w:r>
    </w:p>
    <w:p w14:paraId="1CB9A11E" w14:textId="77777777" w:rsidR="00E92500" w:rsidRPr="00E92500" w:rsidRDefault="00E92500" w:rsidP="00910176">
      <w:pPr>
        <w:numPr>
          <w:ilvl w:val="0"/>
          <w:numId w:val="20"/>
        </w:numPr>
        <w:tabs>
          <w:tab w:val="num" w:pos="360"/>
        </w:tabs>
        <w:spacing w:after="120" w:line="23" w:lineRule="atLeast"/>
        <w:jc w:val="both"/>
      </w:pPr>
      <w:r w:rsidRPr="00E92500">
        <w:t xml:space="preserve">W przypadkach określonych w pkt. 8 lit. b-c umorzenie może nastąpić po dokonaniu zwrotu przez </w:t>
      </w:r>
      <w:r w:rsidR="006A49EC">
        <w:t>Pożyczkobiorcę</w:t>
      </w:r>
      <w:r w:rsidRPr="00E92500">
        <w:t xml:space="preserve"> niewykorzystanej oraz niespełniającej Zasad Kwalifikowalności części Jednostkowej Pożyczki.</w:t>
      </w:r>
    </w:p>
    <w:p w14:paraId="1866C841" w14:textId="77777777" w:rsidR="00E92500" w:rsidRPr="00E92500" w:rsidRDefault="00E92500" w:rsidP="00910176">
      <w:pPr>
        <w:numPr>
          <w:ilvl w:val="0"/>
          <w:numId w:val="20"/>
        </w:numPr>
        <w:tabs>
          <w:tab w:val="num" w:pos="360"/>
        </w:tabs>
        <w:spacing w:after="120" w:line="23" w:lineRule="atLeast"/>
        <w:jc w:val="both"/>
      </w:pPr>
      <w:r w:rsidRPr="00E92500">
        <w:t>Wraz z umorzeniem kapitału Jednostkowej Pożyczki P</w:t>
      </w:r>
      <w:r w:rsidR="006A49EC">
        <w:t>ożyczkodawca</w:t>
      </w:r>
      <w:r w:rsidRPr="00E92500">
        <w:t xml:space="preserve"> przygotowuje i przekazuje </w:t>
      </w:r>
      <w:r w:rsidR="006A49EC">
        <w:t>Pożyczkobiorcy</w:t>
      </w:r>
      <w:r w:rsidRPr="00E92500">
        <w:t xml:space="preserve"> nowy harmonogram spłat, który nie modyfikuje pierwotnie udzielonego okresu spłaty Pożyczki. </w:t>
      </w:r>
    </w:p>
    <w:p w14:paraId="3A1D1C9D" w14:textId="77777777" w:rsidR="005D3676" w:rsidRDefault="005D3676" w:rsidP="005D3676">
      <w:pPr>
        <w:pStyle w:val="Akapitzlist"/>
        <w:spacing w:after="120" w:line="23" w:lineRule="atLeast"/>
        <w:contextualSpacing w:val="0"/>
        <w:rPr>
          <w:rFonts w:cs="Calibri"/>
        </w:rPr>
      </w:pPr>
    </w:p>
    <w:p w14:paraId="09DF72F4" w14:textId="77777777" w:rsidR="005D3676" w:rsidRDefault="005D3676" w:rsidP="005D3676">
      <w:pPr>
        <w:pStyle w:val="Akapitzlist"/>
        <w:spacing w:after="120" w:line="23" w:lineRule="atLeast"/>
        <w:contextualSpacing w:val="0"/>
        <w:rPr>
          <w:rFonts w:cs="Calibri"/>
        </w:rPr>
      </w:pPr>
    </w:p>
    <w:p w14:paraId="5C49ABCB" w14:textId="77777777" w:rsidR="005D3676" w:rsidRDefault="005D3676" w:rsidP="005D3676">
      <w:pPr>
        <w:pStyle w:val="Akapitzlist"/>
        <w:spacing w:after="120" w:line="23" w:lineRule="atLeast"/>
        <w:contextualSpacing w:val="0"/>
        <w:rPr>
          <w:rFonts w:cs="Calibri"/>
        </w:rPr>
      </w:pPr>
    </w:p>
    <w:p w14:paraId="11506A95" w14:textId="4207D058" w:rsidR="00420F07" w:rsidRDefault="00420F07">
      <w:pPr>
        <w:spacing w:after="0" w:line="240" w:lineRule="auto"/>
        <w:rPr>
          <w:rFonts w:cs="Calibri"/>
        </w:rPr>
      </w:pPr>
      <w:r>
        <w:rPr>
          <w:rFonts w:cs="Calibri"/>
        </w:rPr>
        <w:br w:type="page"/>
      </w:r>
    </w:p>
    <w:p w14:paraId="6ED3A71E" w14:textId="77777777" w:rsidR="005D3676" w:rsidRPr="000750FE" w:rsidRDefault="005D3676" w:rsidP="005D3676">
      <w:pPr>
        <w:pStyle w:val="Akapitzlist"/>
        <w:spacing w:after="120" w:line="23" w:lineRule="atLeast"/>
        <w:jc w:val="right"/>
        <w:rPr>
          <w:rFonts w:cs="Calibri"/>
          <w:i/>
        </w:rPr>
      </w:pPr>
      <w:r w:rsidRPr="000750FE">
        <w:rPr>
          <w:rFonts w:cs="Calibri"/>
          <w:i/>
        </w:rPr>
        <w:lastRenderedPageBreak/>
        <w:t>Załącznik nr 1</w:t>
      </w:r>
    </w:p>
    <w:p w14:paraId="48BF2B74" w14:textId="77777777" w:rsidR="005D3676" w:rsidRPr="000750FE" w:rsidRDefault="005D3676" w:rsidP="005D3676">
      <w:pPr>
        <w:pStyle w:val="Akapitzlist"/>
        <w:spacing w:after="120" w:line="23" w:lineRule="atLeast"/>
        <w:jc w:val="right"/>
        <w:rPr>
          <w:rFonts w:cs="Calibri"/>
          <w:b/>
          <w:i/>
        </w:rPr>
      </w:pPr>
      <w:r w:rsidRPr="000750FE">
        <w:rPr>
          <w:rFonts w:cs="Calibri"/>
          <w:i/>
        </w:rPr>
        <w:t xml:space="preserve">do </w:t>
      </w:r>
      <w:r w:rsidR="009C567D" w:rsidRPr="000750FE">
        <w:rPr>
          <w:rFonts w:cs="Calibri"/>
          <w:i/>
        </w:rPr>
        <w:t>Karty Produktu</w:t>
      </w:r>
      <w:r w:rsidRPr="000750FE">
        <w:rPr>
          <w:rFonts w:cs="Calibri"/>
          <w:i/>
        </w:rPr>
        <w:t xml:space="preserve"> – </w:t>
      </w:r>
    </w:p>
    <w:p w14:paraId="68F2CDCA" w14:textId="77777777" w:rsidR="005D3676" w:rsidRPr="000750FE" w:rsidRDefault="005D3676" w:rsidP="005D3676">
      <w:pPr>
        <w:pStyle w:val="Akapitzlist"/>
        <w:spacing w:after="120" w:line="23" w:lineRule="atLeast"/>
        <w:jc w:val="right"/>
        <w:rPr>
          <w:rFonts w:cs="Calibri"/>
          <w:bCs/>
          <w:i/>
        </w:rPr>
      </w:pPr>
      <w:r w:rsidRPr="000750FE">
        <w:rPr>
          <w:rFonts w:cs="Calibri"/>
          <w:bCs/>
          <w:i/>
        </w:rPr>
        <w:t>Pożyczka OZE z premią dla MŚP</w:t>
      </w:r>
    </w:p>
    <w:p w14:paraId="45CDB79E" w14:textId="77777777" w:rsidR="005D3676" w:rsidRPr="005D3676" w:rsidRDefault="005D3676" w:rsidP="005D3676">
      <w:pPr>
        <w:pStyle w:val="Akapitzlist"/>
        <w:spacing w:after="120" w:line="23" w:lineRule="atLeast"/>
        <w:jc w:val="right"/>
        <w:rPr>
          <w:rFonts w:ascii="Aptos" w:hAnsi="Aptos" w:cs="Aptos"/>
          <w:i/>
        </w:rPr>
      </w:pPr>
    </w:p>
    <w:p w14:paraId="0009FE32" w14:textId="77777777" w:rsidR="005D3676" w:rsidRPr="005D3676" w:rsidRDefault="005D3676" w:rsidP="005D3676">
      <w:pPr>
        <w:pStyle w:val="Akapitzlist"/>
        <w:spacing w:after="120" w:line="23" w:lineRule="atLeast"/>
        <w:jc w:val="right"/>
        <w:rPr>
          <w:rFonts w:ascii="Aptos" w:hAnsi="Aptos" w:cs="Aptos"/>
          <w:i/>
        </w:rPr>
      </w:pPr>
    </w:p>
    <w:p w14:paraId="1A6976D1" w14:textId="77777777" w:rsidR="005D3676" w:rsidRPr="005D3676" w:rsidRDefault="005D3676" w:rsidP="005D3676">
      <w:pPr>
        <w:pStyle w:val="Akapitzlist"/>
        <w:spacing w:after="120" w:line="23" w:lineRule="atLeast"/>
        <w:jc w:val="right"/>
        <w:rPr>
          <w:rFonts w:ascii="Aptos" w:hAnsi="Aptos" w:cs="Aptos"/>
          <w:b/>
        </w:rPr>
      </w:pPr>
    </w:p>
    <w:p w14:paraId="5B0001AC" w14:textId="77777777" w:rsidR="005D3676" w:rsidRPr="005D3676" w:rsidRDefault="005D3676" w:rsidP="00626CD2">
      <w:pPr>
        <w:pStyle w:val="Akapitzlist"/>
        <w:numPr>
          <w:ilvl w:val="0"/>
          <w:numId w:val="18"/>
        </w:numPr>
        <w:rPr>
          <w:rFonts w:cs="Aptos"/>
          <w:b/>
          <w:bCs/>
        </w:rPr>
      </w:pPr>
      <w:r w:rsidRPr="005D3676">
        <w:rPr>
          <w:rFonts w:cs="Aptos"/>
          <w:b/>
          <w:bCs/>
        </w:rPr>
        <w:t>Warunek nr 2</w:t>
      </w:r>
    </w:p>
    <w:p w14:paraId="2A4D1180" w14:textId="799D8C89" w:rsidR="005D3676" w:rsidRPr="00910176" w:rsidRDefault="005D3676" w:rsidP="00910176">
      <w:pPr>
        <w:jc w:val="both"/>
        <w:rPr>
          <w:rFonts w:cs="Aptos"/>
          <w:b/>
        </w:rPr>
      </w:pPr>
      <w:r w:rsidRPr="00910176">
        <w:rPr>
          <w:rFonts w:cs="Aptos"/>
          <w:b/>
        </w:rPr>
        <w:t>Inwestycje realizowan</w:t>
      </w:r>
      <w:r w:rsidR="00910176" w:rsidRPr="00910176">
        <w:rPr>
          <w:rFonts w:cs="Aptos"/>
          <w:b/>
        </w:rPr>
        <w:t>e</w:t>
      </w:r>
      <w:r w:rsidRPr="00910176">
        <w:rPr>
          <w:rFonts w:cs="Aptos"/>
          <w:b/>
        </w:rPr>
        <w:t xml:space="preserve"> na terenach gmin, dla których wskaźnik dochodów podatkowych G jest poniżej średniej regionalnej lub OSI Obszary Marginalizacji lub OSI Miasta tracące funkcje społeczno-gospodarcze lub Integratora Mazurskiego lub na terenie przygranicznych powiatów województwa.</w:t>
      </w:r>
    </w:p>
    <w:p w14:paraId="69A51FFB" w14:textId="77777777" w:rsidR="005D3676" w:rsidRPr="005D3676" w:rsidRDefault="005D3676" w:rsidP="005D3676">
      <w:pPr>
        <w:jc w:val="both"/>
        <w:rPr>
          <w:rFonts w:cs="Aptos"/>
          <w:b/>
          <w:bCs/>
          <w:color w:val="000000"/>
        </w:rPr>
      </w:pPr>
      <w:r w:rsidRPr="005D3676">
        <w:rPr>
          <w:rFonts w:cs="Aptos"/>
          <w:b/>
          <w:bCs/>
          <w:color w:val="000000"/>
        </w:rPr>
        <w:t>Tabela 1. Wykaz gmin, dla których wskaźnik dochodów podatkowych G jest poniżej średniej regionalnej</w:t>
      </w:r>
    </w:p>
    <w:p w14:paraId="7EC8E122" w14:textId="77777777" w:rsidR="005D3676" w:rsidRPr="000750FE" w:rsidRDefault="005D3676" w:rsidP="005D3676">
      <w:pPr>
        <w:pStyle w:val="pf1"/>
        <w:spacing w:before="0" w:beforeAutospacing="0" w:after="0" w:afterAutospacing="0"/>
        <w:rPr>
          <w:rFonts w:ascii="Calibri" w:hAnsi="Calibri" w:cs="Calibri"/>
          <w:sz w:val="22"/>
          <w:szCs w:val="22"/>
        </w:rPr>
      </w:pPr>
      <w:r w:rsidRPr="000750FE">
        <w:rPr>
          <w:rStyle w:val="cf21"/>
          <w:rFonts w:ascii="Calibri" w:hAnsi="Calibri" w:cs="Calibri"/>
          <w:sz w:val="22"/>
          <w:szCs w:val="22"/>
        </w:rPr>
        <w:t xml:space="preserve">Informacja rokrocznie (styczeń) umieszczana będzie na stronie programu regionalnego </w:t>
      </w:r>
      <w:proofErr w:type="spellStart"/>
      <w:r w:rsidRPr="000750FE">
        <w:rPr>
          <w:rStyle w:val="cf21"/>
          <w:rFonts w:ascii="Calibri" w:hAnsi="Calibri" w:cs="Calibri"/>
          <w:sz w:val="22"/>
          <w:szCs w:val="22"/>
        </w:rPr>
        <w:t>FEWiM</w:t>
      </w:r>
      <w:proofErr w:type="spellEnd"/>
      <w:r w:rsidRPr="000750FE">
        <w:rPr>
          <w:rStyle w:val="cf21"/>
          <w:rFonts w:ascii="Calibri" w:hAnsi="Calibri" w:cs="Calibri"/>
          <w:sz w:val="22"/>
          <w:szCs w:val="22"/>
        </w:rPr>
        <w:t xml:space="preserve"> 2021 – 2027 </w:t>
      </w:r>
    </w:p>
    <w:p w14:paraId="7B71C657" w14:textId="77777777" w:rsidR="005D3676" w:rsidRPr="000750FE" w:rsidRDefault="00FE4CA2" w:rsidP="005D3676">
      <w:pPr>
        <w:pStyle w:val="pf0"/>
        <w:spacing w:before="0" w:beforeAutospacing="0" w:after="0" w:afterAutospacing="0"/>
        <w:rPr>
          <w:rFonts w:ascii="Calibri" w:hAnsi="Calibri" w:cs="Calibri"/>
          <w:sz w:val="22"/>
          <w:szCs w:val="22"/>
        </w:rPr>
      </w:pPr>
      <w:hyperlink r:id="rId8" w:history="1">
        <w:r w:rsidR="005D3676" w:rsidRPr="000750FE">
          <w:rPr>
            <w:rStyle w:val="cf21"/>
            <w:rFonts w:ascii="Calibri" w:hAnsi="Calibri" w:cs="Calibri"/>
            <w:color w:val="0000FF"/>
            <w:sz w:val="22"/>
            <w:szCs w:val="22"/>
            <w:u w:val="single"/>
          </w:rPr>
          <w:t>https://funduszeeuropejskie.warmia.mazury.pl/</w:t>
        </w:r>
      </w:hyperlink>
    </w:p>
    <w:p w14:paraId="56D2F483" w14:textId="77777777" w:rsidR="005D3676" w:rsidRPr="000750FE" w:rsidRDefault="005D3676" w:rsidP="005D3676">
      <w:pPr>
        <w:pStyle w:val="pf0"/>
        <w:spacing w:before="0" w:beforeAutospacing="0" w:after="0" w:afterAutospacing="0"/>
        <w:rPr>
          <w:rFonts w:ascii="Calibri" w:hAnsi="Calibri" w:cs="Calibri"/>
          <w:sz w:val="22"/>
          <w:szCs w:val="22"/>
        </w:rPr>
      </w:pPr>
      <w:r w:rsidRPr="000750FE">
        <w:rPr>
          <w:rStyle w:val="cf21"/>
          <w:rFonts w:ascii="Calibri" w:hAnsi="Calibri" w:cs="Calibri"/>
          <w:sz w:val="22"/>
          <w:szCs w:val="22"/>
        </w:rPr>
        <w:t xml:space="preserve">Link bezpośredni: </w:t>
      </w:r>
    </w:p>
    <w:p w14:paraId="75FB17A2" w14:textId="77777777" w:rsidR="005D3676" w:rsidRPr="000750FE" w:rsidRDefault="00FE4CA2" w:rsidP="009C567D">
      <w:pPr>
        <w:pStyle w:val="pf0"/>
        <w:spacing w:before="0" w:beforeAutospacing="0" w:after="0" w:afterAutospacing="0"/>
        <w:rPr>
          <w:rFonts w:ascii="Calibri" w:hAnsi="Calibri" w:cs="Calibri"/>
        </w:rPr>
      </w:pPr>
      <w:hyperlink r:id="rId9" w:history="1">
        <w:r w:rsidR="005D3676" w:rsidRPr="000750FE">
          <w:rPr>
            <w:rStyle w:val="cf21"/>
            <w:rFonts w:ascii="Calibri" w:hAnsi="Calibri" w:cs="Calibri"/>
            <w:color w:val="0000FF"/>
            <w:sz w:val="22"/>
            <w:szCs w:val="22"/>
            <w:u w:val="single"/>
          </w:rPr>
          <w:t>https://funduszeeuropejskie.warmia.mazury.pl/artykul/469/wskaznik-g</w:t>
        </w:r>
      </w:hyperlink>
    </w:p>
    <w:p w14:paraId="3CC69E15" w14:textId="77777777" w:rsidR="009C567D" w:rsidRPr="009C567D" w:rsidRDefault="009C567D" w:rsidP="009C567D">
      <w:pPr>
        <w:pStyle w:val="pf0"/>
        <w:spacing w:before="0" w:beforeAutospacing="0" w:after="0" w:afterAutospacing="0"/>
        <w:rPr>
          <w:rFonts w:ascii="Aptos" w:hAnsi="Aptos" w:cs="Aptos"/>
          <w:b/>
          <w:bCs/>
          <w:color w:val="0000FF"/>
          <w:sz w:val="22"/>
          <w:szCs w:val="22"/>
          <w:u w:val="single"/>
          <w:shd w:val="clear" w:color="auto" w:fill="FFFFFF"/>
        </w:rPr>
      </w:pPr>
    </w:p>
    <w:p w14:paraId="2AAB6BC3" w14:textId="77777777" w:rsidR="005D3676" w:rsidRPr="005D3676" w:rsidRDefault="005D3676" w:rsidP="005D3676">
      <w:pPr>
        <w:jc w:val="both"/>
        <w:rPr>
          <w:rFonts w:cs="Aptos"/>
          <w:b/>
          <w:bCs/>
          <w:color w:val="000000"/>
        </w:rPr>
      </w:pPr>
      <w:r w:rsidRPr="005D3676">
        <w:rPr>
          <w:rFonts w:cs="Aptos"/>
          <w:b/>
          <w:bCs/>
          <w:color w:val="000000"/>
        </w:rPr>
        <w:t>Tabela 2. Wykaz obszarów OSI Obszary Marginalizacji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3472"/>
        <w:gridCol w:w="2688"/>
      </w:tblGrid>
      <w:tr w:rsidR="00382157" w:rsidRPr="00910176" w14:paraId="69BE47F9" w14:textId="241B373D" w:rsidTr="00382157">
        <w:tc>
          <w:tcPr>
            <w:tcW w:w="2902" w:type="dxa"/>
            <w:tcBorders>
              <w:top w:val="single" w:sz="4" w:space="0" w:color="auto"/>
              <w:left w:val="single" w:sz="4" w:space="0" w:color="auto"/>
              <w:bottom w:val="single" w:sz="4" w:space="0" w:color="auto"/>
              <w:right w:val="single" w:sz="4" w:space="0" w:color="auto"/>
            </w:tcBorders>
            <w:shd w:val="clear" w:color="auto" w:fill="auto"/>
            <w:hideMark/>
          </w:tcPr>
          <w:p w14:paraId="0D51F368" w14:textId="77777777" w:rsidR="00382157" w:rsidRPr="00910176" w:rsidRDefault="00382157" w:rsidP="000963DC">
            <w:pPr>
              <w:spacing w:after="0" w:line="240" w:lineRule="auto"/>
              <w:rPr>
                <w:rFonts w:asciiTheme="minorHAnsi" w:eastAsia="Times New Roman" w:hAnsiTheme="minorHAnsi" w:cstheme="minorHAnsi"/>
                <w:color w:val="000000"/>
                <w:lang w:eastAsia="ja-JP"/>
              </w:rPr>
            </w:pPr>
            <w:r w:rsidRPr="00910176">
              <w:rPr>
                <w:rFonts w:asciiTheme="minorHAnsi" w:eastAsia="Times New Roman" w:hAnsiTheme="minorHAnsi" w:cstheme="minorHAnsi"/>
                <w:color w:val="000000"/>
                <w:lang w:eastAsia="ja-JP"/>
              </w:rPr>
              <w:t xml:space="preserve">gminy miejsko-wiejskie: </w:t>
            </w:r>
          </w:p>
        </w:tc>
        <w:tc>
          <w:tcPr>
            <w:tcW w:w="3472" w:type="dxa"/>
            <w:tcBorders>
              <w:top w:val="single" w:sz="4" w:space="0" w:color="auto"/>
              <w:left w:val="single" w:sz="4" w:space="0" w:color="auto"/>
              <w:bottom w:val="single" w:sz="4" w:space="0" w:color="auto"/>
              <w:right w:val="single" w:sz="4" w:space="0" w:color="auto"/>
            </w:tcBorders>
            <w:shd w:val="clear" w:color="auto" w:fill="auto"/>
            <w:hideMark/>
          </w:tcPr>
          <w:p w14:paraId="1BF38EE9" w14:textId="77777777" w:rsidR="00382157" w:rsidRPr="00910176" w:rsidRDefault="00382157" w:rsidP="000963DC">
            <w:pPr>
              <w:spacing w:after="0" w:line="240" w:lineRule="auto"/>
              <w:rPr>
                <w:rFonts w:asciiTheme="minorHAnsi" w:eastAsia="Times New Roman" w:hAnsiTheme="minorHAnsi" w:cstheme="minorHAnsi"/>
                <w:color w:val="000000"/>
                <w:lang w:eastAsia="ja-JP"/>
              </w:rPr>
            </w:pPr>
            <w:r w:rsidRPr="00910176">
              <w:rPr>
                <w:rFonts w:asciiTheme="minorHAnsi" w:eastAsia="Times New Roman" w:hAnsiTheme="minorHAnsi" w:cstheme="minorHAnsi"/>
                <w:color w:val="000000"/>
                <w:lang w:eastAsia="ja-JP"/>
              </w:rPr>
              <w:t xml:space="preserve">gminy wiejskie: </w:t>
            </w:r>
          </w:p>
        </w:tc>
        <w:tc>
          <w:tcPr>
            <w:tcW w:w="2688" w:type="dxa"/>
            <w:tcBorders>
              <w:top w:val="single" w:sz="4" w:space="0" w:color="auto"/>
              <w:left w:val="single" w:sz="4" w:space="0" w:color="auto"/>
              <w:bottom w:val="single" w:sz="4" w:space="0" w:color="auto"/>
              <w:right w:val="single" w:sz="4" w:space="0" w:color="auto"/>
            </w:tcBorders>
          </w:tcPr>
          <w:p w14:paraId="4322DDA7" w14:textId="3EA72168" w:rsidR="00382157" w:rsidRPr="00910176" w:rsidRDefault="00382157" w:rsidP="000963DC">
            <w:pPr>
              <w:spacing w:after="0" w:line="240" w:lineRule="auto"/>
              <w:rPr>
                <w:rFonts w:asciiTheme="minorHAnsi" w:eastAsia="Times New Roman" w:hAnsiTheme="minorHAnsi" w:cstheme="minorHAnsi"/>
                <w:color w:val="000000"/>
                <w:lang w:eastAsia="ja-JP"/>
              </w:rPr>
            </w:pPr>
            <w:r w:rsidRPr="00910176">
              <w:rPr>
                <w:rFonts w:asciiTheme="minorHAnsi" w:eastAsia="Times New Roman" w:hAnsiTheme="minorHAnsi" w:cstheme="minorHAnsi"/>
                <w:color w:val="000000"/>
                <w:lang w:eastAsia="ja-JP"/>
              </w:rPr>
              <w:t>gminy miejskie:</w:t>
            </w:r>
          </w:p>
        </w:tc>
      </w:tr>
      <w:tr w:rsidR="00382157" w:rsidRPr="00910176" w14:paraId="537445DD" w14:textId="2B9E15E1" w:rsidTr="00382157">
        <w:tc>
          <w:tcPr>
            <w:tcW w:w="2902" w:type="dxa"/>
            <w:tcBorders>
              <w:top w:val="single" w:sz="4" w:space="0" w:color="auto"/>
              <w:left w:val="single" w:sz="4" w:space="0" w:color="auto"/>
              <w:bottom w:val="single" w:sz="4" w:space="0" w:color="auto"/>
              <w:right w:val="single" w:sz="4" w:space="0" w:color="auto"/>
            </w:tcBorders>
            <w:shd w:val="clear" w:color="auto" w:fill="auto"/>
          </w:tcPr>
          <w:p w14:paraId="43DC18AA" w14:textId="2C255CEE" w:rsidR="00382157" w:rsidRPr="00910176" w:rsidRDefault="00382157" w:rsidP="000963DC">
            <w:pPr>
              <w:spacing w:after="0" w:line="240" w:lineRule="auto"/>
              <w:rPr>
                <w:rFonts w:asciiTheme="minorHAnsi" w:eastAsia="Times New Roman" w:hAnsiTheme="minorHAnsi" w:cstheme="minorHAnsi"/>
                <w:color w:val="000000"/>
                <w:lang w:eastAsia="ja-JP"/>
              </w:rPr>
            </w:pPr>
            <w:r w:rsidRPr="00910176">
              <w:rPr>
                <w:rFonts w:asciiTheme="minorHAnsi" w:eastAsia="Times New Roman" w:hAnsiTheme="minorHAnsi" w:cstheme="minorHAnsi"/>
                <w:color w:val="000000"/>
                <w:lang w:eastAsia="ja-JP"/>
              </w:rPr>
              <w:t xml:space="preserve">Biała Piska, Bisztynek, </w:t>
            </w:r>
            <w:r w:rsidRPr="00910176">
              <w:rPr>
                <w:rFonts w:asciiTheme="minorHAnsi" w:eastAsia="Times New Roman" w:hAnsiTheme="minorHAnsi" w:cstheme="minorHAnsi"/>
                <w:color w:val="000000"/>
                <w:lang w:eastAsia="pl-PL"/>
              </w:rPr>
              <w:t xml:space="preserve">Jeziorany, </w:t>
            </w:r>
            <w:r w:rsidRPr="00910176">
              <w:rPr>
                <w:rFonts w:asciiTheme="minorHAnsi" w:eastAsia="Times New Roman" w:hAnsiTheme="minorHAnsi" w:cstheme="minorHAnsi"/>
                <w:color w:val="000000"/>
                <w:lang w:eastAsia="ja-JP"/>
              </w:rPr>
              <w:t xml:space="preserve">Kisielice, Korsze, Lidzbark, Mikołajki, Miłakowo, Młynary, Orneta, Orzysz, Pieniężno, Reszel, </w:t>
            </w:r>
            <w:proofErr w:type="spellStart"/>
            <w:r w:rsidRPr="00910176">
              <w:rPr>
                <w:rFonts w:asciiTheme="minorHAnsi" w:eastAsia="Times New Roman" w:hAnsiTheme="minorHAnsi" w:cstheme="minorHAnsi"/>
                <w:color w:val="000000"/>
                <w:lang w:eastAsia="ja-JP"/>
              </w:rPr>
              <w:t>Ruciane-Nida</w:t>
            </w:r>
            <w:proofErr w:type="spellEnd"/>
            <w:r w:rsidRPr="00910176">
              <w:rPr>
                <w:rFonts w:asciiTheme="minorHAnsi" w:eastAsia="Times New Roman" w:hAnsiTheme="minorHAnsi" w:cstheme="minorHAnsi"/>
                <w:color w:val="000000"/>
                <w:lang w:eastAsia="ja-JP"/>
              </w:rPr>
              <w:t xml:space="preserve">, Ryn, Sępopol, Susz, Tolkmicko, Wielbark, Zalewo </w:t>
            </w:r>
          </w:p>
          <w:p w14:paraId="6DAAF93D" w14:textId="77777777" w:rsidR="00382157" w:rsidRPr="00910176" w:rsidRDefault="00382157" w:rsidP="000963DC">
            <w:pPr>
              <w:spacing w:after="0" w:line="240" w:lineRule="auto"/>
              <w:jc w:val="both"/>
              <w:rPr>
                <w:rFonts w:asciiTheme="minorHAnsi" w:eastAsia="Times New Roman" w:hAnsiTheme="minorHAnsi" w:cstheme="minorHAnsi"/>
                <w:color w:val="000000"/>
                <w:lang w:eastAsia="pl-PL"/>
              </w:rPr>
            </w:pPr>
          </w:p>
        </w:tc>
        <w:tc>
          <w:tcPr>
            <w:tcW w:w="3472" w:type="dxa"/>
            <w:tcBorders>
              <w:top w:val="single" w:sz="4" w:space="0" w:color="auto"/>
              <w:left w:val="single" w:sz="4" w:space="0" w:color="auto"/>
              <w:bottom w:val="single" w:sz="4" w:space="0" w:color="auto"/>
              <w:right w:val="single" w:sz="4" w:space="0" w:color="auto"/>
            </w:tcBorders>
            <w:shd w:val="clear" w:color="auto" w:fill="auto"/>
            <w:hideMark/>
          </w:tcPr>
          <w:p w14:paraId="53287DF0" w14:textId="1DF15781" w:rsidR="00382157" w:rsidRPr="00910176" w:rsidRDefault="00382157" w:rsidP="000963DC">
            <w:pPr>
              <w:spacing w:after="0" w:line="240" w:lineRule="auto"/>
              <w:jc w:val="both"/>
              <w:rPr>
                <w:rFonts w:asciiTheme="minorHAnsi" w:eastAsia="Times New Roman" w:hAnsiTheme="minorHAnsi" w:cstheme="minorHAnsi"/>
                <w:color w:val="000000"/>
                <w:lang w:eastAsia="pl-PL"/>
              </w:rPr>
            </w:pPr>
            <w:r w:rsidRPr="00910176">
              <w:rPr>
                <w:rFonts w:asciiTheme="minorHAnsi" w:eastAsia="Times New Roman" w:hAnsiTheme="minorHAnsi" w:cstheme="minorHAnsi"/>
                <w:color w:val="000000"/>
                <w:lang w:eastAsia="pl-PL"/>
              </w:rPr>
              <w:t>Banie Mazurskie, Barciany, Bartoszyce, Biskupiec, Braniewo, Budry, Dąbrówno, Dubeninki, Działdowo, Dźwierzuty, Godkowo, Grodziczno, Grunwald, Górowo Iławieckie, Janowiec Kościelny, Janowo, Kalinowo, Kętrzyn, Kiwity, Kolno, Kowale Oleckie, Kozłowo, Lelkowo, Lubawa, Lubomino, Małdyty, Markusy, Miłki, Nowe Miasto Lubawskie, Piecki, Płoskinia, Płośnica, Pozezdrze, Prostki, Rozogi, Rybno, Rychliki, Sorkwity, Srokowo, Stare Juchy, Świątki, Świętajno</w:t>
            </w:r>
            <w:r w:rsidR="00910176" w:rsidRPr="00910176">
              <w:rPr>
                <w:rFonts w:asciiTheme="minorHAnsi" w:eastAsia="Times New Roman" w:hAnsiTheme="minorHAnsi" w:cstheme="minorHAnsi"/>
                <w:color w:val="000000"/>
                <w:lang w:eastAsia="pl-PL"/>
              </w:rPr>
              <w:t xml:space="preserve"> (powiat olecki)</w:t>
            </w:r>
            <w:r w:rsidRPr="00910176">
              <w:rPr>
                <w:rFonts w:asciiTheme="minorHAnsi" w:eastAsia="Times New Roman" w:hAnsiTheme="minorHAnsi" w:cstheme="minorHAnsi"/>
                <w:color w:val="000000"/>
                <w:lang w:eastAsia="pl-PL"/>
              </w:rPr>
              <w:t>, Wieliczki, Wilczęta, Wydminy</w:t>
            </w:r>
          </w:p>
        </w:tc>
        <w:tc>
          <w:tcPr>
            <w:tcW w:w="2688" w:type="dxa"/>
            <w:tcBorders>
              <w:top w:val="single" w:sz="4" w:space="0" w:color="auto"/>
              <w:left w:val="single" w:sz="4" w:space="0" w:color="auto"/>
              <w:bottom w:val="single" w:sz="4" w:space="0" w:color="auto"/>
              <w:right w:val="single" w:sz="4" w:space="0" w:color="auto"/>
            </w:tcBorders>
          </w:tcPr>
          <w:p w14:paraId="6ABA13C8" w14:textId="05D1A221" w:rsidR="00382157" w:rsidRPr="00910176" w:rsidRDefault="00382157" w:rsidP="000963DC">
            <w:pPr>
              <w:spacing w:after="0" w:line="240" w:lineRule="auto"/>
              <w:jc w:val="both"/>
              <w:rPr>
                <w:rFonts w:asciiTheme="minorHAnsi" w:eastAsia="Times New Roman" w:hAnsiTheme="minorHAnsi" w:cstheme="minorHAnsi"/>
                <w:color w:val="000000"/>
                <w:lang w:eastAsia="pl-PL"/>
              </w:rPr>
            </w:pPr>
            <w:r w:rsidRPr="00910176">
              <w:rPr>
                <w:rFonts w:asciiTheme="minorHAnsi" w:eastAsia="Times New Roman" w:hAnsiTheme="minorHAnsi" w:cstheme="minorHAnsi"/>
                <w:color w:val="000000"/>
                <w:lang w:eastAsia="pl-PL"/>
              </w:rPr>
              <w:t>Górowo Iławeckie</w:t>
            </w:r>
          </w:p>
        </w:tc>
      </w:tr>
    </w:tbl>
    <w:p w14:paraId="2EA91BC8" w14:textId="77777777" w:rsidR="005D3676" w:rsidRPr="005D3676" w:rsidRDefault="005D3676" w:rsidP="005D3676">
      <w:pPr>
        <w:spacing w:after="0"/>
        <w:jc w:val="both"/>
        <w:rPr>
          <w:rFonts w:ascii="Aptos" w:hAnsi="Aptos" w:cs="Aptos"/>
          <w:color w:val="000000"/>
        </w:rPr>
      </w:pPr>
    </w:p>
    <w:p w14:paraId="289BA219" w14:textId="77777777" w:rsidR="005D3676" w:rsidRPr="005D3676" w:rsidRDefault="005D3676" w:rsidP="005D3676">
      <w:pPr>
        <w:jc w:val="both"/>
        <w:rPr>
          <w:rFonts w:cs="Aptos"/>
          <w:b/>
          <w:bCs/>
          <w:color w:val="000000"/>
        </w:rPr>
      </w:pPr>
      <w:r w:rsidRPr="005D3676">
        <w:rPr>
          <w:rFonts w:cs="Aptos"/>
          <w:b/>
          <w:bCs/>
          <w:color w:val="000000"/>
        </w:rPr>
        <w:t>Tabela 3. Wykaz obszarów OSI Miasta tracące funkcje społeczno-gospodarcze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4842"/>
      </w:tblGrid>
      <w:tr w:rsidR="005D3676" w:rsidRPr="00910176" w14:paraId="61721CC7" w14:textId="77777777" w:rsidTr="000963DC">
        <w:trPr>
          <w:trHeight w:val="100"/>
        </w:trPr>
        <w:tc>
          <w:tcPr>
            <w:tcW w:w="4220" w:type="dxa"/>
            <w:tcBorders>
              <w:top w:val="single" w:sz="4" w:space="0" w:color="auto"/>
              <w:left w:val="single" w:sz="4" w:space="0" w:color="auto"/>
              <w:bottom w:val="single" w:sz="4" w:space="0" w:color="auto"/>
              <w:right w:val="single" w:sz="4" w:space="0" w:color="auto"/>
            </w:tcBorders>
            <w:shd w:val="clear" w:color="auto" w:fill="auto"/>
            <w:hideMark/>
          </w:tcPr>
          <w:p w14:paraId="75A655C5" w14:textId="77777777" w:rsidR="005D3676" w:rsidRPr="00910176" w:rsidRDefault="005D3676" w:rsidP="000963DC">
            <w:pPr>
              <w:spacing w:after="0" w:line="240" w:lineRule="auto"/>
              <w:jc w:val="both"/>
              <w:rPr>
                <w:rFonts w:asciiTheme="minorHAnsi" w:eastAsia="Times New Roman" w:hAnsiTheme="minorHAnsi" w:cstheme="minorHAnsi"/>
                <w:color w:val="000000"/>
                <w:lang w:eastAsia="pl-PL"/>
              </w:rPr>
            </w:pPr>
            <w:r w:rsidRPr="00910176">
              <w:rPr>
                <w:rFonts w:asciiTheme="minorHAnsi" w:eastAsia="Times New Roman" w:hAnsiTheme="minorHAnsi" w:cstheme="minorHAnsi"/>
                <w:color w:val="000000"/>
                <w:lang w:eastAsia="ja-JP"/>
              </w:rPr>
              <w:t xml:space="preserve">gminy miejsko-wiejskie: </w:t>
            </w:r>
          </w:p>
        </w:tc>
        <w:tc>
          <w:tcPr>
            <w:tcW w:w="4842" w:type="dxa"/>
            <w:tcBorders>
              <w:top w:val="single" w:sz="4" w:space="0" w:color="auto"/>
              <w:left w:val="single" w:sz="4" w:space="0" w:color="auto"/>
              <w:bottom w:val="single" w:sz="4" w:space="0" w:color="auto"/>
              <w:right w:val="single" w:sz="4" w:space="0" w:color="auto"/>
            </w:tcBorders>
            <w:shd w:val="clear" w:color="auto" w:fill="auto"/>
            <w:hideMark/>
          </w:tcPr>
          <w:p w14:paraId="09356BB8" w14:textId="77777777" w:rsidR="005D3676" w:rsidRPr="00910176" w:rsidRDefault="005D3676" w:rsidP="000963DC">
            <w:pPr>
              <w:spacing w:after="0" w:line="240" w:lineRule="auto"/>
              <w:jc w:val="both"/>
              <w:rPr>
                <w:rFonts w:asciiTheme="minorHAnsi" w:eastAsia="Times New Roman" w:hAnsiTheme="minorHAnsi" w:cstheme="minorHAnsi"/>
                <w:color w:val="000000"/>
                <w:lang w:eastAsia="pl-PL"/>
              </w:rPr>
            </w:pPr>
            <w:r w:rsidRPr="00910176">
              <w:rPr>
                <w:rFonts w:asciiTheme="minorHAnsi" w:eastAsia="Times New Roman" w:hAnsiTheme="minorHAnsi" w:cstheme="minorHAnsi"/>
                <w:color w:val="000000"/>
                <w:lang w:eastAsia="ja-JP"/>
              </w:rPr>
              <w:t>gminy miejskie:</w:t>
            </w:r>
          </w:p>
        </w:tc>
      </w:tr>
      <w:tr w:rsidR="005D3676" w:rsidRPr="00910176" w14:paraId="0D2A4F2A" w14:textId="77777777" w:rsidTr="000963DC">
        <w:trPr>
          <w:trHeight w:val="640"/>
        </w:trPr>
        <w:tc>
          <w:tcPr>
            <w:tcW w:w="4220" w:type="dxa"/>
            <w:tcBorders>
              <w:top w:val="single" w:sz="4" w:space="0" w:color="auto"/>
              <w:left w:val="single" w:sz="4" w:space="0" w:color="auto"/>
              <w:bottom w:val="single" w:sz="4" w:space="0" w:color="auto"/>
              <w:right w:val="single" w:sz="4" w:space="0" w:color="auto"/>
            </w:tcBorders>
            <w:shd w:val="clear" w:color="auto" w:fill="auto"/>
            <w:hideMark/>
          </w:tcPr>
          <w:p w14:paraId="71C6DB34" w14:textId="77777777" w:rsidR="005D3676" w:rsidRPr="00910176" w:rsidRDefault="005D3676" w:rsidP="000963DC">
            <w:pPr>
              <w:spacing w:after="0" w:line="240" w:lineRule="auto"/>
              <w:jc w:val="both"/>
              <w:rPr>
                <w:rFonts w:asciiTheme="minorHAnsi" w:eastAsia="Times New Roman" w:hAnsiTheme="minorHAnsi" w:cstheme="minorHAnsi"/>
                <w:color w:val="000000"/>
                <w:lang w:eastAsia="pl-PL"/>
              </w:rPr>
            </w:pPr>
            <w:r w:rsidRPr="00910176">
              <w:rPr>
                <w:rFonts w:asciiTheme="minorHAnsi" w:eastAsia="Times New Roman" w:hAnsiTheme="minorHAnsi" w:cstheme="minorHAnsi"/>
                <w:color w:val="000000"/>
                <w:lang w:eastAsia="pl-PL"/>
              </w:rPr>
              <w:t>Olecko, Pisz,</w:t>
            </w:r>
          </w:p>
        </w:tc>
        <w:tc>
          <w:tcPr>
            <w:tcW w:w="4842" w:type="dxa"/>
            <w:tcBorders>
              <w:top w:val="single" w:sz="4" w:space="0" w:color="auto"/>
              <w:left w:val="single" w:sz="4" w:space="0" w:color="auto"/>
              <w:bottom w:val="single" w:sz="4" w:space="0" w:color="auto"/>
              <w:right w:val="single" w:sz="4" w:space="0" w:color="auto"/>
            </w:tcBorders>
            <w:shd w:val="clear" w:color="auto" w:fill="auto"/>
            <w:hideMark/>
          </w:tcPr>
          <w:p w14:paraId="74D43CB8" w14:textId="77777777" w:rsidR="005D3676" w:rsidRPr="00910176" w:rsidRDefault="005D3676" w:rsidP="000963DC">
            <w:pPr>
              <w:spacing w:after="0" w:line="240" w:lineRule="auto"/>
              <w:jc w:val="both"/>
              <w:rPr>
                <w:rFonts w:asciiTheme="minorHAnsi" w:eastAsia="Times New Roman" w:hAnsiTheme="minorHAnsi" w:cstheme="minorHAnsi"/>
                <w:color w:val="000000"/>
                <w:lang w:eastAsia="pl-PL"/>
              </w:rPr>
            </w:pPr>
            <w:r w:rsidRPr="00910176">
              <w:rPr>
                <w:rFonts w:asciiTheme="minorHAnsi" w:eastAsia="Times New Roman" w:hAnsiTheme="minorHAnsi" w:cstheme="minorHAnsi"/>
                <w:color w:val="000000"/>
                <w:lang w:eastAsia="pl-PL"/>
              </w:rPr>
              <w:t>Bartoszyce, Braniewo, Działdowo, Elbląg, Ełk, Giżycko, Iława, Kętrzyn, Lidzbark Warmiński,  Mrągowo Ostróda, Szczytno</w:t>
            </w:r>
          </w:p>
        </w:tc>
      </w:tr>
    </w:tbl>
    <w:p w14:paraId="2B2BBC86" w14:textId="77777777" w:rsidR="005D3676" w:rsidRDefault="005D3676" w:rsidP="005D3676">
      <w:pPr>
        <w:rPr>
          <w:rFonts w:ascii="Aptos" w:hAnsi="Aptos" w:cs="Aptos"/>
        </w:rPr>
      </w:pPr>
    </w:p>
    <w:p w14:paraId="79C3B178" w14:textId="77777777" w:rsidR="005D3676" w:rsidRPr="005D3676" w:rsidRDefault="005D3676" w:rsidP="005D3676">
      <w:pPr>
        <w:rPr>
          <w:rFonts w:cs="Aptos"/>
          <w:b/>
          <w:bCs/>
        </w:rPr>
      </w:pPr>
      <w:r w:rsidRPr="005D3676">
        <w:rPr>
          <w:rFonts w:cs="Aptos"/>
          <w:b/>
          <w:bCs/>
        </w:rPr>
        <w:lastRenderedPageBreak/>
        <w:t>Tabela 4: Wykaz obszarów Integratora Mazurskiego</w:t>
      </w:r>
    </w:p>
    <w:p w14:paraId="637C3251" w14:textId="77777777" w:rsidR="005D3676" w:rsidRPr="009C567D" w:rsidRDefault="005D3676" w:rsidP="005D3676">
      <w:pPr>
        <w:rPr>
          <w:rFonts w:cs="Aptos"/>
          <w:iCs/>
        </w:rPr>
      </w:pPr>
      <w:r w:rsidRPr="005D3676">
        <w:rPr>
          <w:rFonts w:cs="Aptos"/>
          <w:iCs/>
        </w:rPr>
        <w:t>Strefa aktywności gospodarczej na terenach inwestycyjnych zlokalizowanych w pobliżu Portu Lotniczego Olsztyn-Mazury. Obszar ten obejmuje działki objęte miejscowym planem zagospodarowania przestrzennego uchwalonym uchwałą nr V/43/2019 Rady Gminy Szczytno z dnia 28 lutego 2019 r. położone w m. Szymany o następujących numerach geodezyjnych: 463/45, 463/46, 463/50, 463/56, 463/57, 463/60, 463/61, 463/64, 463/65, 463/66, 463/67, 463/68, 463/69.</w:t>
      </w:r>
    </w:p>
    <w:p w14:paraId="2EA332A8" w14:textId="77777777" w:rsidR="005D3676" w:rsidRPr="005D3676" w:rsidRDefault="005D3676" w:rsidP="005D3676">
      <w:pPr>
        <w:rPr>
          <w:rFonts w:cs="Aptos"/>
          <w:color w:val="000000"/>
          <w:lang w:eastAsia="ja-JP"/>
        </w:rPr>
      </w:pPr>
      <w:r w:rsidRPr="005D3676">
        <w:rPr>
          <w:rFonts w:cs="Aptos"/>
          <w:b/>
          <w:bCs/>
        </w:rPr>
        <w:t>Tabela 5. Wykaz przygranicznych powiatów województwa warmińsko-mazurskiego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D3676" w:rsidRPr="00910176" w14:paraId="76070193" w14:textId="77777777" w:rsidTr="000963DC">
        <w:trPr>
          <w:trHeight w:val="1376"/>
          <w:jc w:val="center"/>
        </w:trPr>
        <w:tc>
          <w:tcPr>
            <w:tcW w:w="9062" w:type="dxa"/>
            <w:tcBorders>
              <w:top w:val="single" w:sz="4" w:space="0" w:color="auto"/>
              <w:left w:val="single" w:sz="4" w:space="0" w:color="auto"/>
              <w:bottom w:val="single" w:sz="4" w:space="0" w:color="auto"/>
              <w:right w:val="single" w:sz="4" w:space="0" w:color="auto"/>
            </w:tcBorders>
            <w:shd w:val="clear" w:color="auto" w:fill="auto"/>
            <w:hideMark/>
          </w:tcPr>
          <w:p w14:paraId="45DB19B8" w14:textId="77777777" w:rsidR="005D3676" w:rsidRPr="00910176" w:rsidRDefault="005D3676" w:rsidP="000963DC">
            <w:pPr>
              <w:autoSpaceDE w:val="0"/>
              <w:autoSpaceDN w:val="0"/>
              <w:adjustRightInd w:val="0"/>
              <w:spacing w:after="0" w:line="240" w:lineRule="auto"/>
              <w:rPr>
                <w:rFonts w:asciiTheme="minorHAnsi" w:eastAsia="Times New Roman" w:hAnsiTheme="minorHAnsi" w:cstheme="minorHAnsi"/>
                <w:color w:val="000000"/>
                <w:lang w:eastAsia="ja-JP"/>
              </w:rPr>
            </w:pPr>
            <w:r w:rsidRPr="00910176">
              <w:rPr>
                <w:rFonts w:asciiTheme="minorHAnsi" w:eastAsia="Times New Roman" w:hAnsiTheme="minorHAnsi" w:cstheme="minorHAnsi"/>
                <w:color w:val="000000"/>
                <w:lang w:eastAsia="ja-JP"/>
              </w:rPr>
              <w:t>- braniewski</w:t>
            </w:r>
          </w:p>
          <w:p w14:paraId="017674A6" w14:textId="77777777" w:rsidR="005D3676" w:rsidRPr="00910176" w:rsidRDefault="005D3676" w:rsidP="000963DC">
            <w:pPr>
              <w:autoSpaceDE w:val="0"/>
              <w:autoSpaceDN w:val="0"/>
              <w:adjustRightInd w:val="0"/>
              <w:spacing w:after="0" w:line="240" w:lineRule="auto"/>
              <w:rPr>
                <w:rFonts w:asciiTheme="minorHAnsi" w:eastAsia="Times New Roman" w:hAnsiTheme="minorHAnsi" w:cstheme="minorHAnsi"/>
                <w:color w:val="000000"/>
                <w:lang w:eastAsia="ja-JP"/>
              </w:rPr>
            </w:pPr>
            <w:r w:rsidRPr="00910176">
              <w:rPr>
                <w:rFonts w:asciiTheme="minorHAnsi" w:eastAsia="Times New Roman" w:hAnsiTheme="minorHAnsi" w:cstheme="minorHAnsi"/>
                <w:color w:val="000000"/>
                <w:lang w:eastAsia="ja-JP"/>
              </w:rPr>
              <w:t>- bartoszycki</w:t>
            </w:r>
          </w:p>
          <w:p w14:paraId="3865BEC0" w14:textId="77777777" w:rsidR="005D3676" w:rsidRPr="00910176" w:rsidRDefault="005D3676" w:rsidP="000963DC">
            <w:pPr>
              <w:autoSpaceDE w:val="0"/>
              <w:autoSpaceDN w:val="0"/>
              <w:adjustRightInd w:val="0"/>
              <w:spacing w:after="0" w:line="240" w:lineRule="auto"/>
              <w:rPr>
                <w:rFonts w:asciiTheme="minorHAnsi" w:eastAsia="Times New Roman" w:hAnsiTheme="minorHAnsi" w:cstheme="minorHAnsi"/>
                <w:color w:val="000000"/>
                <w:lang w:eastAsia="ja-JP"/>
              </w:rPr>
            </w:pPr>
            <w:r w:rsidRPr="00910176">
              <w:rPr>
                <w:rFonts w:asciiTheme="minorHAnsi" w:eastAsia="Times New Roman" w:hAnsiTheme="minorHAnsi" w:cstheme="minorHAnsi"/>
                <w:color w:val="000000"/>
                <w:lang w:eastAsia="ja-JP"/>
              </w:rPr>
              <w:t>- kętrzyński</w:t>
            </w:r>
          </w:p>
          <w:p w14:paraId="3253994E" w14:textId="77777777" w:rsidR="005D3676" w:rsidRPr="00910176" w:rsidRDefault="005D3676" w:rsidP="000963DC">
            <w:pPr>
              <w:autoSpaceDE w:val="0"/>
              <w:autoSpaceDN w:val="0"/>
              <w:adjustRightInd w:val="0"/>
              <w:spacing w:after="0" w:line="240" w:lineRule="auto"/>
              <w:rPr>
                <w:rFonts w:asciiTheme="minorHAnsi" w:eastAsia="Times New Roman" w:hAnsiTheme="minorHAnsi" w:cstheme="minorHAnsi"/>
                <w:color w:val="000000"/>
                <w:lang w:eastAsia="ja-JP"/>
              </w:rPr>
            </w:pPr>
            <w:r w:rsidRPr="00910176">
              <w:rPr>
                <w:rFonts w:asciiTheme="minorHAnsi" w:eastAsia="Times New Roman" w:hAnsiTheme="minorHAnsi" w:cstheme="minorHAnsi"/>
                <w:color w:val="000000"/>
                <w:lang w:eastAsia="ja-JP"/>
              </w:rPr>
              <w:t>- węgorzewski</w:t>
            </w:r>
          </w:p>
          <w:p w14:paraId="4C2D0433" w14:textId="77777777" w:rsidR="005D3676" w:rsidRPr="00910176" w:rsidRDefault="005D3676" w:rsidP="000963DC">
            <w:pPr>
              <w:autoSpaceDE w:val="0"/>
              <w:autoSpaceDN w:val="0"/>
              <w:adjustRightInd w:val="0"/>
              <w:spacing w:after="0" w:line="240" w:lineRule="auto"/>
              <w:rPr>
                <w:rFonts w:asciiTheme="minorHAnsi" w:eastAsia="Times New Roman" w:hAnsiTheme="minorHAnsi" w:cstheme="minorHAnsi"/>
                <w:color w:val="000000"/>
                <w:lang w:eastAsia="ja-JP"/>
              </w:rPr>
            </w:pPr>
            <w:r w:rsidRPr="00910176">
              <w:rPr>
                <w:rFonts w:asciiTheme="minorHAnsi" w:eastAsia="Times New Roman" w:hAnsiTheme="minorHAnsi" w:cstheme="minorHAnsi"/>
                <w:color w:val="000000"/>
                <w:lang w:eastAsia="ja-JP"/>
              </w:rPr>
              <w:t xml:space="preserve">- gołdapski </w:t>
            </w:r>
          </w:p>
        </w:tc>
      </w:tr>
    </w:tbl>
    <w:p w14:paraId="05D45792" w14:textId="77777777" w:rsidR="005D3676" w:rsidRPr="005D3676" w:rsidRDefault="005D3676" w:rsidP="005D3676">
      <w:pPr>
        <w:rPr>
          <w:rFonts w:ascii="Aptos" w:hAnsi="Aptos" w:cs="Aptos"/>
        </w:rPr>
      </w:pPr>
    </w:p>
    <w:p w14:paraId="4EBC39A8" w14:textId="43446365" w:rsidR="005D3676" w:rsidRPr="00420F07" w:rsidRDefault="005D3676" w:rsidP="00420F07">
      <w:pPr>
        <w:jc w:val="both"/>
        <w:rPr>
          <w:i/>
        </w:rPr>
      </w:pPr>
      <w:r>
        <w:rPr>
          <w:i/>
        </w:rPr>
        <w:t xml:space="preserve">Spełnienie warunku następuje w oparciu o dokumentację pożyczkową.  </w:t>
      </w:r>
    </w:p>
    <w:sectPr w:rsidR="005D3676" w:rsidRPr="00420F07" w:rsidSect="008914CC">
      <w:headerReference w:type="default" r:id="rId10"/>
      <w:footerReference w:type="default" r:id="rId11"/>
      <w:headerReference w:type="first" r:id="rId12"/>
      <w:footerReference w:type="first" r:id="rId13"/>
      <w:pgSz w:w="11906" w:h="16838"/>
      <w:pgMar w:top="1564" w:right="1417" w:bottom="2127" w:left="1417"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7D2B5" w14:textId="77777777" w:rsidR="00FE4CA2" w:rsidRDefault="00FE4CA2" w:rsidP="00BA3860">
      <w:pPr>
        <w:spacing w:after="0" w:line="240" w:lineRule="auto"/>
      </w:pPr>
      <w:r>
        <w:separator/>
      </w:r>
    </w:p>
  </w:endnote>
  <w:endnote w:type="continuationSeparator" w:id="0">
    <w:p w14:paraId="08E5E687" w14:textId="77777777" w:rsidR="00FE4CA2" w:rsidRDefault="00FE4CA2" w:rsidP="00BA3860">
      <w:pPr>
        <w:spacing w:after="0" w:line="240" w:lineRule="auto"/>
      </w:pPr>
      <w:r>
        <w:continuationSeparator/>
      </w:r>
    </w:p>
  </w:endnote>
  <w:endnote w:type="continuationNotice" w:id="1">
    <w:p w14:paraId="29817A16" w14:textId="77777777" w:rsidR="00FE4CA2" w:rsidRDefault="00FE4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245CA" w14:textId="02D1A9C8" w:rsidR="002C6DBC" w:rsidRDefault="002C6DBC" w:rsidP="008914CC">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F570F6">
      <w:rPr>
        <w:b/>
        <w:bCs/>
        <w:noProof/>
      </w:rPr>
      <w:t>10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570F6">
      <w:rPr>
        <w:b/>
        <w:bCs/>
        <w:noProof/>
      </w:rPr>
      <w:t>10</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B4558" w14:textId="1AFF9A9F" w:rsidR="008914CC" w:rsidRDefault="008914CC" w:rsidP="008914CC">
    <w:pPr>
      <w:pStyle w:val="Stopka"/>
      <w:jc w:val="center"/>
    </w:pPr>
    <w:r w:rsidRPr="00792410">
      <w:rPr>
        <w:noProof/>
        <w:lang w:eastAsia="pl-PL"/>
      </w:rPr>
      <w:drawing>
        <wp:anchor distT="0" distB="0" distL="114300" distR="114300" simplePos="0" relativeHeight="251659264" behindDoc="1" locked="0" layoutInCell="1" allowOverlap="1" wp14:anchorId="32003CBD" wp14:editId="2B8BC2ED">
          <wp:simplePos x="0" y="0"/>
          <wp:positionH relativeFrom="column">
            <wp:posOffset>759525</wp:posOffset>
          </wp:positionH>
          <wp:positionV relativeFrom="paragraph">
            <wp:posOffset>-783766</wp:posOffset>
          </wp:positionV>
          <wp:extent cx="4762500" cy="752475"/>
          <wp:effectExtent l="0" t="0" r="0" b="9525"/>
          <wp:wrapNone/>
          <wp:docPr id="14317406" name="Obraz 14317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62500" cy="752475"/>
                  </a:xfrm>
                  <a:prstGeom prst="rect">
                    <a:avLst/>
                  </a:prstGeom>
                  <a:noFill/>
                  <a:ln>
                    <a:noFill/>
                  </a:ln>
                </pic:spPr>
              </pic:pic>
            </a:graphicData>
          </a:graphic>
        </wp:anchor>
      </w:drawing>
    </w:r>
    <w:r>
      <w:t xml:space="preserve">Strona </w:t>
    </w:r>
    <w:r>
      <w:rPr>
        <w:b/>
        <w:bCs/>
        <w:sz w:val="24"/>
        <w:szCs w:val="24"/>
      </w:rPr>
      <w:fldChar w:fldCharType="begin"/>
    </w:r>
    <w:r>
      <w:rPr>
        <w:b/>
        <w:bCs/>
      </w:rPr>
      <w:instrText>PAGE</w:instrText>
    </w:r>
    <w:r>
      <w:rPr>
        <w:b/>
        <w:bCs/>
        <w:sz w:val="24"/>
        <w:szCs w:val="24"/>
      </w:rPr>
      <w:fldChar w:fldCharType="separate"/>
    </w:r>
    <w:r w:rsidR="00F570F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570F6">
      <w:rPr>
        <w:b/>
        <w:bCs/>
        <w:noProof/>
      </w:rPr>
      <w:t>10</w:t>
    </w:r>
    <w:r>
      <w:rPr>
        <w:b/>
        <w:bCs/>
        <w:sz w:val="24"/>
        <w:szCs w:val="24"/>
      </w:rPr>
      <w:fldChar w:fldCharType="end"/>
    </w:r>
  </w:p>
  <w:p w14:paraId="17609D37" w14:textId="240C1EE7" w:rsidR="008914CC" w:rsidRDefault="008914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4886E" w14:textId="77777777" w:rsidR="00FE4CA2" w:rsidRDefault="00FE4CA2" w:rsidP="00BA3860">
      <w:pPr>
        <w:spacing w:after="0" w:line="240" w:lineRule="auto"/>
      </w:pPr>
      <w:r>
        <w:separator/>
      </w:r>
    </w:p>
  </w:footnote>
  <w:footnote w:type="continuationSeparator" w:id="0">
    <w:p w14:paraId="3CBBF6F8" w14:textId="77777777" w:rsidR="00FE4CA2" w:rsidRDefault="00FE4CA2" w:rsidP="00BA3860">
      <w:pPr>
        <w:spacing w:after="0" w:line="240" w:lineRule="auto"/>
      </w:pPr>
      <w:r>
        <w:continuationSeparator/>
      </w:r>
    </w:p>
  </w:footnote>
  <w:footnote w:type="continuationNotice" w:id="1">
    <w:p w14:paraId="65875070" w14:textId="77777777" w:rsidR="00FE4CA2" w:rsidRDefault="00FE4CA2">
      <w:pPr>
        <w:spacing w:after="0" w:line="240" w:lineRule="auto"/>
      </w:pPr>
    </w:p>
  </w:footnote>
  <w:footnote w:id="2">
    <w:p w14:paraId="7C836281" w14:textId="77777777" w:rsidR="0032438B" w:rsidRDefault="0032438B" w:rsidP="0032438B">
      <w:pPr>
        <w:pStyle w:val="Tekstprzypisudolnego"/>
      </w:pPr>
      <w:r>
        <w:rPr>
          <w:rStyle w:val="Odwoanieprzypisudolnego"/>
        </w:rPr>
        <w:footnoteRef/>
      </w:r>
      <w:r>
        <w:t xml:space="preserve"> </w:t>
      </w:r>
      <w:r>
        <w:rPr>
          <w:sz w:val="18"/>
          <w:szCs w:val="18"/>
        </w:rPr>
        <w:t xml:space="preserve">Zgodnie z tabelą nr 1 stanowiącą zał. 1 do </w:t>
      </w:r>
      <w:r w:rsidR="005D3676">
        <w:rPr>
          <w:sz w:val="18"/>
          <w:szCs w:val="18"/>
        </w:rPr>
        <w:t>Karty Produktu</w:t>
      </w:r>
    </w:p>
  </w:footnote>
  <w:footnote w:id="3">
    <w:p w14:paraId="5766F2D0" w14:textId="77777777" w:rsidR="0032438B" w:rsidRDefault="0032438B" w:rsidP="0032438B">
      <w:pPr>
        <w:pStyle w:val="Tekstprzypisudolnego"/>
        <w:rPr>
          <w:sz w:val="18"/>
          <w:szCs w:val="18"/>
        </w:rPr>
      </w:pPr>
      <w:r>
        <w:rPr>
          <w:rStyle w:val="Odwoanieprzypisudolnego"/>
          <w:rFonts w:cs="Calibri"/>
          <w:sz w:val="18"/>
          <w:szCs w:val="18"/>
        </w:rPr>
        <w:footnoteRef/>
      </w:r>
      <w:r>
        <w:rPr>
          <w:rFonts w:cs="Calibri"/>
          <w:sz w:val="18"/>
          <w:szCs w:val="18"/>
        </w:rPr>
        <w:t xml:space="preserve"> </w:t>
      </w:r>
      <w:r>
        <w:rPr>
          <w:sz w:val="18"/>
          <w:szCs w:val="18"/>
        </w:rPr>
        <w:t xml:space="preserve">Zgodnie z tabelą nr 2 stanowiącą zał. 1 do </w:t>
      </w:r>
      <w:r w:rsidR="005D3676">
        <w:rPr>
          <w:sz w:val="18"/>
          <w:szCs w:val="18"/>
        </w:rPr>
        <w:t>Karty Produktu</w:t>
      </w:r>
    </w:p>
  </w:footnote>
  <w:footnote w:id="4">
    <w:p w14:paraId="237DF5FF" w14:textId="77777777" w:rsidR="0032438B" w:rsidRDefault="0032438B" w:rsidP="0032438B">
      <w:pPr>
        <w:pStyle w:val="Tekstprzypisudolnego"/>
        <w:rPr>
          <w:rFonts w:cs="Calibri"/>
          <w:sz w:val="18"/>
          <w:szCs w:val="18"/>
        </w:rPr>
      </w:pPr>
      <w:r>
        <w:rPr>
          <w:rStyle w:val="Odwoanieprzypisudolnego"/>
          <w:rFonts w:cs="Calibri"/>
          <w:sz w:val="18"/>
          <w:szCs w:val="18"/>
        </w:rPr>
        <w:footnoteRef/>
      </w:r>
      <w:r>
        <w:rPr>
          <w:rFonts w:cs="Calibri"/>
          <w:sz w:val="18"/>
          <w:szCs w:val="18"/>
        </w:rPr>
        <w:t xml:space="preserve"> </w:t>
      </w:r>
      <w:r>
        <w:rPr>
          <w:sz w:val="18"/>
          <w:szCs w:val="18"/>
        </w:rPr>
        <w:t xml:space="preserve">Zgodnie z tabelą nr 3 stanowiącą zał. 1 do </w:t>
      </w:r>
      <w:r w:rsidR="005D3676">
        <w:rPr>
          <w:sz w:val="18"/>
          <w:szCs w:val="18"/>
        </w:rPr>
        <w:t>Karty Produktu</w:t>
      </w:r>
    </w:p>
  </w:footnote>
  <w:footnote w:id="5">
    <w:p w14:paraId="325308B6" w14:textId="77777777" w:rsidR="0032438B" w:rsidRDefault="0032438B" w:rsidP="0032438B">
      <w:pPr>
        <w:pStyle w:val="Tekstprzypisudolnego"/>
        <w:rPr>
          <w:rFonts w:cs="Calibri"/>
          <w:sz w:val="18"/>
          <w:szCs w:val="18"/>
        </w:rPr>
      </w:pPr>
      <w:r>
        <w:rPr>
          <w:rStyle w:val="Odwoanieprzypisudolnego"/>
          <w:rFonts w:cs="Calibri"/>
          <w:sz w:val="18"/>
          <w:szCs w:val="18"/>
        </w:rPr>
        <w:footnoteRef/>
      </w:r>
      <w:r>
        <w:rPr>
          <w:rFonts w:cs="Calibri"/>
          <w:sz w:val="18"/>
          <w:szCs w:val="18"/>
        </w:rPr>
        <w:t xml:space="preserve"> </w:t>
      </w:r>
      <w:r>
        <w:rPr>
          <w:sz w:val="18"/>
          <w:szCs w:val="18"/>
        </w:rPr>
        <w:t xml:space="preserve">Zgodnie z tabelą nr 4 stanowiącą zał. 1 do </w:t>
      </w:r>
      <w:r w:rsidR="005D3676">
        <w:rPr>
          <w:sz w:val="18"/>
          <w:szCs w:val="18"/>
        </w:rPr>
        <w:t>Karty Produktu</w:t>
      </w:r>
    </w:p>
  </w:footnote>
  <w:footnote w:id="6">
    <w:p w14:paraId="3681F620" w14:textId="77777777" w:rsidR="0032438B" w:rsidRDefault="0032438B" w:rsidP="0032438B">
      <w:pPr>
        <w:pStyle w:val="Tekstprzypisudolnego"/>
      </w:pPr>
      <w:r>
        <w:rPr>
          <w:rStyle w:val="Odwoanieprzypisudolnego"/>
          <w:rFonts w:cs="Calibri"/>
          <w:sz w:val="18"/>
          <w:szCs w:val="18"/>
        </w:rPr>
        <w:footnoteRef/>
      </w:r>
      <w:r>
        <w:rPr>
          <w:rFonts w:cs="Calibri"/>
          <w:sz w:val="18"/>
          <w:szCs w:val="18"/>
        </w:rPr>
        <w:t xml:space="preserve"> </w:t>
      </w:r>
      <w:r>
        <w:rPr>
          <w:sz w:val="18"/>
          <w:szCs w:val="18"/>
        </w:rPr>
        <w:t xml:space="preserve">Zgodnie z tabelą nr 5 stanowiącą zał. 1 do </w:t>
      </w:r>
      <w:r w:rsidR="005D3676">
        <w:rPr>
          <w:sz w:val="18"/>
          <w:szCs w:val="18"/>
        </w:rPr>
        <w:t>Karty Produktu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870B8" w14:textId="406B0CA3" w:rsidR="00D77607" w:rsidRPr="00242425" w:rsidRDefault="00D77607" w:rsidP="00AD2F2F">
    <w:pPr>
      <w:pStyle w:val="Nagwek"/>
      <w:tabs>
        <w:tab w:val="clear" w:pos="9072"/>
        <w:tab w:val="left" w:pos="5559"/>
      </w:tabs>
      <w:spacing w:before="144" w:after="144"/>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1B321" w14:textId="38942E01" w:rsidR="008914CC" w:rsidRDefault="008914CC" w:rsidP="008914CC">
    <w:pPr>
      <w:pStyle w:val="Nagwek"/>
      <w:jc w:val="center"/>
    </w:pPr>
    <w:r w:rsidRPr="00CD5CDF">
      <w:rPr>
        <w:noProof/>
        <w:lang w:eastAsia="pl-PL"/>
      </w:rPr>
      <w:drawing>
        <wp:inline distT="0" distB="0" distL="0" distR="0" wp14:anchorId="27B5BD19" wp14:editId="02242EAB">
          <wp:extent cx="5010150" cy="775417"/>
          <wp:effectExtent l="0" t="0" r="0" b="5715"/>
          <wp:docPr id="143174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57313" name=""/>
                  <pic:cNvPicPr/>
                </pic:nvPicPr>
                <pic:blipFill rotWithShape="1">
                  <a:blip r:embed="rId1"/>
                  <a:srcRect t="17783"/>
                  <a:stretch/>
                </pic:blipFill>
                <pic:spPr bwMode="auto">
                  <a:xfrm>
                    <a:off x="0" y="0"/>
                    <a:ext cx="5064579" cy="78384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CCF"/>
    <w:multiLevelType w:val="hybridMultilevel"/>
    <w:tmpl w:val="FD7AE9D6"/>
    <w:lvl w:ilvl="0" w:tplc="CA4A3816">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FBC46B6"/>
    <w:multiLevelType w:val="hybridMultilevel"/>
    <w:tmpl w:val="BDF01048"/>
    <w:lvl w:ilvl="0" w:tplc="0415000F">
      <w:start w:val="1"/>
      <w:numFmt w:val="decimal"/>
      <w:lvlText w:val="%1."/>
      <w:lvlJc w:val="left"/>
      <w:pPr>
        <w:ind w:left="26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0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EF3D5E"/>
    <w:multiLevelType w:val="hybridMultilevel"/>
    <w:tmpl w:val="D4A2EF72"/>
    <w:lvl w:ilvl="0" w:tplc="FFFFFFFF">
      <w:start w:val="1"/>
      <w:numFmt w:val="decimal"/>
      <w:lvlText w:val="%1."/>
      <w:lvlJc w:val="left"/>
      <w:pPr>
        <w:ind w:left="36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04150017">
      <w:start w:val="1"/>
      <w:numFmt w:val="lowerLetter"/>
      <w:lvlText w:val="%4)"/>
      <w:lvlJc w:val="left"/>
      <w:pPr>
        <w:ind w:left="1352"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1121CE"/>
    <w:multiLevelType w:val="hybridMultilevel"/>
    <w:tmpl w:val="BDF0104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687" w:hanging="360"/>
      </w:pPr>
    </w:lvl>
    <w:lvl w:ilvl="2" w:tplc="FFFFFFFF" w:tentative="1">
      <w:start w:val="1"/>
      <w:numFmt w:val="lowerRoman"/>
      <w:lvlText w:val="%3."/>
      <w:lvlJc w:val="right"/>
      <w:pPr>
        <w:ind w:left="33" w:hanging="180"/>
      </w:pPr>
    </w:lvl>
    <w:lvl w:ilvl="3" w:tplc="FFFFFFFF">
      <w:start w:val="1"/>
      <w:numFmt w:val="decimal"/>
      <w:lvlText w:val="%4."/>
      <w:lvlJc w:val="left"/>
      <w:pPr>
        <w:ind w:left="-1625" w:hanging="360"/>
      </w:pPr>
    </w:lvl>
    <w:lvl w:ilvl="4" w:tplc="FFFFFFFF" w:tentative="1">
      <w:start w:val="1"/>
      <w:numFmt w:val="lowerLetter"/>
      <w:lvlText w:val="%5."/>
      <w:lvlJc w:val="left"/>
      <w:pPr>
        <w:ind w:left="1473" w:hanging="360"/>
      </w:pPr>
    </w:lvl>
    <w:lvl w:ilvl="5" w:tplc="FFFFFFFF" w:tentative="1">
      <w:start w:val="1"/>
      <w:numFmt w:val="lowerRoman"/>
      <w:lvlText w:val="%6."/>
      <w:lvlJc w:val="right"/>
      <w:pPr>
        <w:ind w:left="2193" w:hanging="180"/>
      </w:pPr>
    </w:lvl>
    <w:lvl w:ilvl="6" w:tplc="FFFFFFFF" w:tentative="1">
      <w:start w:val="1"/>
      <w:numFmt w:val="decimal"/>
      <w:lvlText w:val="%7."/>
      <w:lvlJc w:val="left"/>
      <w:pPr>
        <w:ind w:left="2913" w:hanging="360"/>
      </w:pPr>
    </w:lvl>
    <w:lvl w:ilvl="7" w:tplc="FFFFFFFF" w:tentative="1">
      <w:start w:val="1"/>
      <w:numFmt w:val="lowerLetter"/>
      <w:lvlText w:val="%8."/>
      <w:lvlJc w:val="left"/>
      <w:pPr>
        <w:ind w:left="3633" w:hanging="360"/>
      </w:pPr>
    </w:lvl>
    <w:lvl w:ilvl="8" w:tplc="FFFFFFFF" w:tentative="1">
      <w:start w:val="1"/>
      <w:numFmt w:val="lowerRoman"/>
      <w:lvlText w:val="%9."/>
      <w:lvlJc w:val="right"/>
      <w:pPr>
        <w:ind w:left="4353" w:hanging="180"/>
      </w:pPr>
    </w:lvl>
  </w:abstractNum>
  <w:abstractNum w:abstractNumId="4" w15:restartNumberingAfterBreak="0">
    <w:nsid w:val="1B140908"/>
    <w:multiLevelType w:val="hybridMultilevel"/>
    <w:tmpl w:val="5742DD1A"/>
    <w:lvl w:ilvl="0" w:tplc="04150017">
      <w:start w:val="1"/>
      <w:numFmt w:val="lowerLetter"/>
      <w:lvlText w:val="%1)"/>
      <w:lvlJc w:val="left"/>
      <w:pPr>
        <w:ind w:left="1919" w:hanging="360"/>
      </w:pPr>
    </w:lvl>
    <w:lvl w:ilvl="1" w:tplc="04150019">
      <w:start w:val="1"/>
      <w:numFmt w:val="lowerLetter"/>
      <w:lvlText w:val="%2."/>
      <w:lvlJc w:val="left"/>
      <w:pPr>
        <w:ind w:left="2639" w:hanging="360"/>
      </w:pPr>
    </w:lvl>
    <w:lvl w:ilvl="2" w:tplc="0415001B">
      <w:start w:val="1"/>
      <w:numFmt w:val="lowerRoman"/>
      <w:lvlText w:val="%3."/>
      <w:lvlJc w:val="right"/>
      <w:pPr>
        <w:ind w:left="3359" w:hanging="180"/>
      </w:pPr>
    </w:lvl>
    <w:lvl w:ilvl="3" w:tplc="0415000F">
      <w:start w:val="1"/>
      <w:numFmt w:val="decimal"/>
      <w:lvlText w:val="%4."/>
      <w:lvlJc w:val="left"/>
      <w:pPr>
        <w:ind w:left="4079" w:hanging="360"/>
      </w:pPr>
    </w:lvl>
    <w:lvl w:ilvl="4" w:tplc="04150019">
      <w:start w:val="1"/>
      <w:numFmt w:val="lowerLetter"/>
      <w:lvlText w:val="%5."/>
      <w:lvlJc w:val="left"/>
      <w:pPr>
        <w:ind w:left="4799" w:hanging="360"/>
      </w:pPr>
    </w:lvl>
    <w:lvl w:ilvl="5" w:tplc="0415001B">
      <w:start w:val="1"/>
      <w:numFmt w:val="lowerRoman"/>
      <w:lvlText w:val="%6."/>
      <w:lvlJc w:val="right"/>
      <w:pPr>
        <w:ind w:left="5519" w:hanging="180"/>
      </w:pPr>
    </w:lvl>
    <w:lvl w:ilvl="6" w:tplc="0415000F">
      <w:start w:val="1"/>
      <w:numFmt w:val="decimal"/>
      <w:lvlText w:val="%7."/>
      <w:lvlJc w:val="left"/>
      <w:pPr>
        <w:ind w:left="6239" w:hanging="360"/>
      </w:pPr>
    </w:lvl>
    <w:lvl w:ilvl="7" w:tplc="04150019">
      <w:start w:val="1"/>
      <w:numFmt w:val="lowerLetter"/>
      <w:lvlText w:val="%8."/>
      <w:lvlJc w:val="left"/>
      <w:pPr>
        <w:ind w:left="6959" w:hanging="360"/>
      </w:pPr>
    </w:lvl>
    <w:lvl w:ilvl="8" w:tplc="0415001B">
      <w:start w:val="1"/>
      <w:numFmt w:val="lowerRoman"/>
      <w:lvlText w:val="%9."/>
      <w:lvlJc w:val="right"/>
      <w:pPr>
        <w:ind w:left="7679" w:hanging="180"/>
      </w:pPr>
    </w:lvl>
  </w:abstractNum>
  <w:abstractNum w:abstractNumId="5" w15:restartNumberingAfterBreak="0">
    <w:nsid w:val="1B507718"/>
    <w:multiLevelType w:val="hybridMultilevel"/>
    <w:tmpl w:val="E3A02C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116D05"/>
    <w:multiLevelType w:val="hybridMultilevel"/>
    <w:tmpl w:val="34CA72A4"/>
    <w:lvl w:ilvl="0" w:tplc="04150011">
      <w:start w:val="1"/>
      <w:numFmt w:val="decimal"/>
      <w:lvlText w:val="%1)"/>
      <w:lvlJc w:val="left"/>
      <w:pPr>
        <w:tabs>
          <w:tab w:val="num" w:pos="1210"/>
        </w:tabs>
        <w:ind w:left="1210" w:hanging="360"/>
      </w:pPr>
    </w:lvl>
    <w:lvl w:ilvl="1" w:tplc="04150019" w:tentative="1">
      <w:start w:val="1"/>
      <w:numFmt w:val="lowerLetter"/>
      <w:lvlText w:val="%2."/>
      <w:lvlJc w:val="left"/>
      <w:pPr>
        <w:tabs>
          <w:tab w:val="num" w:pos="1930"/>
        </w:tabs>
        <w:ind w:left="1930" w:hanging="360"/>
      </w:pPr>
    </w:lvl>
    <w:lvl w:ilvl="2" w:tplc="0415001B" w:tentative="1">
      <w:start w:val="1"/>
      <w:numFmt w:val="lowerRoman"/>
      <w:lvlText w:val="%3."/>
      <w:lvlJc w:val="right"/>
      <w:pPr>
        <w:tabs>
          <w:tab w:val="num" w:pos="2650"/>
        </w:tabs>
        <w:ind w:left="2650" w:hanging="180"/>
      </w:pPr>
    </w:lvl>
    <w:lvl w:ilvl="3" w:tplc="0415000F" w:tentative="1">
      <w:start w:val="1"/>
      <w:numFmt w:val="decimal"/>
      <w:lvlText w:val="%4."/>
      <w:lvlJc w:val="left"/>
      <w:pPr>
        <w:tabs>
          <w:tab w:val="num" w:pos="3370"/>
        </w:tabs>
        <w:ind w:left="3370" w:hanging="360"/>
      </w:pPr>
    </w:lvl>
    <w:lvl w:ilvl="4" w:tplc="04150019" w:tentative="1">
      <w:start w:val="1"/>
      <w:numFmt w:val="lowerLetter"/>
      <w:lvlText w:val="%5."/>
      <w:lvlJc w:val="left"/>
      <w:pPr>
        <w:tabs>
          <w:tab w:val="num" w:pos="4090"/>
        </w:tabs>
        <w:ind w:left="4090" w:hanging="360"/>
      </w:pPr>
    </w:lvl>
    <w:lvl w:ilvl="5" w:tplc="0415001B" w:tentative="1">
      <w:start w:val="1"/>
      <w:numFmt w:val="lowerRoman"/>
      <w:lvlText w:val="%6."/>
      <w:lvlJc w:val="right"/>
      <w:pPr>
        <w:tabs>
          <w:tab w:val="num" w:pos="4810"/>
        </w:tabs>
        <w:ind w:left="4810" w:hanging="180"/>
      </w:pPr>
    </w:lvl>
    <w:lvl w:ilvl="6" w:tplc="0415000F" w:tentative="1">
      <w:start w:val="1"/>
      <w:numFmt w:val="decimal"/>
      <w:lvlText w:val="%7."/>
      <w:lvlJc w:val="left"/>
      <w:pPr>
        <w:tabs>
          <w:tab w:val="num" w:pos="5530"/>
        </w:tabs>
        <w:ind w:left="5530" w:hanging="360"/>
      </w:pPr>
    </w:lvl>
    <w:lvl w:ilvl="7" w:tplc="04150019" w:tentative="1">
      <w:start w:val="1"/>
      <w:numFmt w:val="lowerLetter"/>
      <w:lvlText w:val="%8."/>
      <w:lvlJc w:val="left"/>
      <w:pPr>
        <w:tabs>
          <w:tab w:val="num" w:pos="6250"/>
        </w:tabs>
        <w:ind w:left="6250" w:hanging="360"/>
      </w:pPr>
    </w:lvl>
    <w:lvl w:ilvl="8" w:tplc="0415001B" w:tentative="1">
      <w:start w:val="1"/>
      <w:numFmt w:val="lowerRoman"/>
      <w:lvlText w:val="%9."/>
      <w:lvlJc w:val="right"/>
      <w:pPr>
        <w:tabs>
          <w:tab w:val="num" w:pos="6970"/>
        </w:tabs>
        <w:ind w:left="6970" w:hanging="180"/>
      </w:pPr>
    </w:lvl>
  </w:abstractNum>
  <w:abstractNum w:abstractNumId="7" w15:restartNumberingAfterBreak="0">
    <w:nsid w:val="24FA37D5"/>
    <w:multiLevelType w:val="hybridMultilevel"/>
    <w:tmpl w:val="6F266520"/>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 w15:restartNumberingAfterBreak="0">
    <w:nsid w:val="285D3F8A"/>
    <w:multiLevelType w:val="hybridMultilevel"/>
    <w:tmpl w:val="38D4A2EC"/>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9" w15:restartNumberingAfterBreak="0">
    <w:nsid w:val="2DD873A8"/>
    <w:multiLevelType w:val="hybridMultilevel"/>
    <w:tmpl w:val="11FA024C"/>
    <w:lvl w:ilvl="0" w:tplc="FFFFFFFF">
      <w:start w:val="1"/>
      <w:numFmt w:val="decimal"/>
      <w:lvlText w:val="%1."/>
      <w:lvlJc w:val="left"/>
      <w:pPr>
        <w:tabs>
          <w:tab w:val="num" w:pos="643"/>
        </w:tabs>
        <w:ind w:left="643" w:hanging="360"/>
      </w:pPr>
      <w:rPr>
        <w:rFonts w:hint="default"/>
      </w:rPr>
    </w:lvl>
    <w:lvl w:ilvl="1" w:tplc="FFFFFFFF">
      <w:start w:val="1"/>
      <w:numFmt w:val="lowerLetter"/>
      <w:lvlText w:val="%2."/>
      <w:lvlJc w:val="left"/>
      <w:pPr>
        <w:ind w:left="1635" w:hanging="360"/>
      </w:pPr>
      <w:rPr>
        <w:color w:val="auto"/>
      </w:rPr>
    </w:lvl>
    <w:lvl w:ilvl="2" w:tplc="FFFFFFFF">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10" w15:restartNumberingAfterBreak="0">
    <w:nsid w:val="3B04551B"/>
    <w:multiLevelType w:val="hybridMultilevel"/>
    <w:tmpl w:val="7DCC88AE"/>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1" w15:restartNumberingAfterBreak="0">
    <w:nsid w:val="3C7E77DB"/>
    <w:multiLevelType w:val="hybridMultilevel"/>
    <w:tmpl w:val="A9A6DA42"/>
    <w:lvl w:ilvl="0" w:tplc="FFFFFFFF">
      <w:start w:val="1"/>
      <w:numFmt w:val="lowerLetter"/>
      <w:lvlText w:val="%1)"/>
      <w:lvlJc w:val="left"/>
      <w:pPr>
        <w:ind w:left="1494" w:hanging="360"/>
      </w:p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12" w15:restartNumberingAfterBreak="0">
    <w:nsid w:val="45CB4C7E"/>
    <w:multiLevelType w:val="hybridMultilevel"/>
    <w:tmpl w:val="A9A6DA42"/>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3" w15:restartNumberingAfterBreak="0">
    <w:nsid w:val="462D5CE9"/>
    <w:multiLevelType w:val="hybridMultilevel"/>
    <w:tmpl w:val="347E3A4A"/>
    <w:lvl w:ilvl="0" w:tplc="FFFFFFFF">
      <w:start w:val="1"/>
      <w:numFmt w:val="decimal"/>
      <w:lvlText w:val="%1."/>
      <w:lvlJc w:val="left"/>
      <w:pPr>
        <w:ind w:left="644" w:hanging="360"/>
      </w:pPr>
    </w:lvl>
    <w:lvl w:ilvl="1" w:tplc="FFFFFFFF">
      <w:start w:val="1"/>
      <w:numFmt w:val="lowerLetter"/>
      <w:lvlText w:val="%2."/>
      <w:lvlJc w:val="left"/>
      <w:pPr>
        <w:ind w:left="1713" w:hanging="360"/>
      </w:pPr>
    </w:lvl>
    <w:lvl w:ilvl="2" w:tplc="FFFFFFFF">
      <w:start w:val="1"/>
      <w:numFmt w:val="lowerRoman"/>
      <w:lvlText w:val="%3."/>
      <w:lvlJc w:val="right"/>
      <w:pPr>
        <w:ind w:left="2433" w:hanging="180"/>
      </w:pPr>
    </w:lvl>
    <w:lvl w:ilvl="3" w:tplc="FFFFFFFF">
      <w:start w:val="1"/>
      <w:numFmt w:val="decimal"/>
      <w:lvlText w:val="%4."/>
      <w:lvlJc w:val="left"/>
      <w:pPr>
        <w:ind w:left="644" w:hanging="360"/>
      </w:pPr>
    </w:lvl>
    <w:lvl w:ilvl="4" w:tplc="FFFFFFFF">
      <w:start w:val="1"/>
      <w:numFmt w:val="lowerLetter"/>
      <w:lvlText w:val="%5."/>
      <w:lvlJc w:val="left"/>
      <w:pPr>
        <w:ind w:left="3873" w:hanging="360"/>
      </w:pPr>
    </w:lvl>
    <w:lvl w:ilvl="5" w:tplc="FFFFFFFF">
      <w:start w:val="1"/>
      <w:numFmt w:val="lowerRoman"/>
      <w:lvlText w:val="%6."/>
      <w:lvlJc w:val="right"/>
      <w:pPr>
        <w:ind w:left="4593" w:hanging="180"/>
      </w:pPr>
    </w:lvl>
    <w:lvl w:ilvl="6" w:tplc="FFFFFFFF">
      <w:start w:val="1"/>
      <w:numFmt w:val="decimal"/>
      <w:lvlText w:val="%7."/>
      <w:lvlJc w:val="left"/>
      <w:pPr>
        <w:ind w:left="5313" w:hanging="360"/>
      </w:pPr>
    </w:lvl>
    <w:lvl w:ilvl="7" w:tplc="FFFFFFFF">
      <w:start w:val="1"/>
      <w:numFmt w:val="lowerLetter"/>
      <w:lvlText w:val="%8."/>
      <w:lvlJc w:val="left"/>
      <w:pPr>
        <w:ind w:left="6033" w:hanging="360"/>
      </w:pPr>
    </w:lvl>
    <w:lvl w:ilvl="8" w:tplc="FFFFFFFF">
      <w:start w:val="1"/>
      <w:numFmt w:val="lowerRoman"/>
      <w:lvlText w:val="%9."/>
      <w:lvlJc w:val="right"/>
      <w:pPr>
        <w:ind w:left="6753" w:hanging="180"/>
      </w:pPr>
    </w:lvl>
  </w:abstractNum>
  <w:abstractNum w:abstractNumId="14" w15:restartNumberingAfterBreak="0">
    <w:nsid w:val="51377CF6"/>
    <w:multiLevelType w:val="hybridMultilevel"/>
    <w:tmpl w:val="F394036E"/>
    <w:lvl w:ilvl="0" w:tplc="09567176">
      <w:start w:val="1"/>
      <w:numFmt w:val="decimal"/>
      <w:lvlText w:val="%1."/>
      <w:lvlJc w:val="left"/>
      <w:pPr>
        <w:ind w:left="644" w:hanging="360"/>
      </w:pPr>
      <w:rPr>
        <w:rFonts w:ascii="Calibri" w:eastAsia="Calibri" w:hAnsi="Calibri" w:cs="Calibri"/>
      </w:rPr>
    </w:lvl>
    <w:lvl w:ilvl="1" w:tplc="FFFFFFFF" w:tentative="1">
      <w:start w:val="1"/>
      <w:numFmt w:val="lowerLetter"/>
      <w:lvlText w:val="%2."/>
      <w:lvlJc w:val="left"/>
      <w:pPr>
        <w:ind w:left="-545" w:hanging="360"/>
      </w:pPr>
    </w:lvl>
    <w:lvl w:ilvl="2" w:tplc="FFFFFFFF" w:tentative="1">
      <w:start w:val="1"/>
      <w:numFmt w:val="lowerRoman"/>
      <w:lvlText w:val="%3."/>
      <w:lvlJc w:val="right"/>
      <w:pPr>
        <w:ind w:left="175" w:hanging="180"/>
      </w:pPr>
    </w:lvl>
    <w:lvl w:ilvl="3" w:tplc="FFFFFFFF">
      <w:start w:val="1"/>
      <w:numFmt w:val="decimal"/>
      <w:lvlText w:val="%4."/>
      <w:lvlJc w:val="left"/>
      <w:pPr>
        <w:ind w:left="-1483" w:hanging="360"/>
      </w:pPr>
    </w:lvl>
    <w:lvl w:ilvl="4" w:tplc="FFFFFFFF" w:tentative="1">
      <w:start w:val="1"/>
      <w:numFmt w:val="lowerLetter"/>
      <w:lvlText w:val="%5."/>
      <w:lvlJc w:val="left"/>
      <w:pPr>
        <w:ind w:left="1615" w:hanging="360"/>
      </w:pPr>
    </w:lvl>
    <w:lvl w:ilvl="5" w:tplc="FFFFFFFF" w:tentative="1">
      <w:start w:val="1"/>
      <w:numFmt w:val="lowerRoman"/>
      <w:lvlText w:val="%6."/>
      <w:lvlJc w:val="right"/>
      <w:pPr>
        <w:ind w:left="2335" w:hanging="180"/>
      </w:pPr>
    </w:lvl>
    <w:lvl w:ilvl="6" w:tplc="FFFFFFFF" w:tentative="1">
      <w:start w:val="1"/>
      <w:numFmt w:val="decimal"/>
      <w:lvlText w:val="%7."/>
      <w:lvlJc w:val="left"/>
      <w:pPr>
        <w:ind w:left="3055" w:hanging="360"/>
      </w:pPr>
    </w:lvl>
    <w:lvl w:ilvl="7" w:tplc="FFFFFFFF" w:tentative="1">
      <w:start w:val="1"/>
      <w:numFmt w:val="lowerLetter"/>
      <w:lvlText w:val="%8."/>
      <w:lvlJc w:val="left"/>
      <w:pPr>
        <w:ind w:left="3775" w:hanging="360"/>
      </w:pPr>
    </w:lvl>
    <w:lvl w:ilvl="8" w:tplc="FFFFFFFF" w:tentative="1">
      <w:start w:val="1"/>
      <w:numFmt w:val="lowerRoman"/>
      <w:lvlText w:val="%9."/>
      <w:lvlJc w:val="right"/>
      <w:pPr>
        <w:ind w:left="4495" w:hanging="180"/>
      </w:pPr>
    </w:lvl>
  </w:abstractNum>
  <w:abstractNum w:abstractNumId="15" w15:restartNumberingAfterBreak="0">
    <w:nsid w:val="55305BB7"/>
    <w:multiLevelType w:val="hybridMultilevel"/>
    <w:tmpl w:val="10784AE8"/>
    <w:lvl w:ilvl="0" w:tplc="04150017">
      <w:start w:val="1"/>
      <w:numFmt w:val="lowerLetter"/>
      <w:lvlText w:val="%1)"/>
      <w:lvlJc w:val="left"/>
      <w:pPr>
        <w:ind w:left="1778" w:hanging="360"/>
      </w:p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16" w15:restartNumberingAfterBreak="0">
    <w:nsid w:val="573600E2"/>
    <w:multiLevelType w:val="hybridMultilevel"/>
    <w:tmpl w:val="64A0AAF2"/>
    <w:lvl w:ilvl="0" w:tplc="E932E68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61E84042"/>
    <w:multiLevelType w:val="hybridMultilevel"/>
    <w:tmpl w:val="1CA688D8"/>
    <w:lvl w:ilvl="0" w:tplc="6D468FF0">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A627E2B"/>
    <w:multiLevelType w:val="hybridMultilevel"/>
    <w:tmpl w:val="20F0DFC4"/>
    <w:lvl w:ilvl="0" w:tplc="04150017">
      <w:start w:val="1"/>
      <w:numFmt w:val="lowerLetter"/>
      <w:lvlText w:val="%1)"/>
      <w:lvlJc w:val="left"/>
      <w:pPr>
        <w:ind w:left="1777" w:hanging="360"/>
      </w:pPr>
    </w:lvl>
    <w:lvl w:ilvl="1" w:tplc="04150019">
      <w:start w:val="1"/>
      <w:numFmt w:val="lowerLetter"/>
      <w:lvlText w:val="%2."/>
      <w:lvlJc w:val="left"/>
      <w:pPr>
        <w:ind w:left="2497" w:hanging="360"/>
      </w:pPr>
    </w:lvl>
    <w:lvl w:ilvl="2" w:tplc="0415001B">
      <w:start w:val="1"/>
      <w:numFmt w:val="lowerRoman"/>
      <w:lvlText w:val="%3."/>
      <w:lvlJc w:val="right"/>
      <w:pPr>
        <w:ind w:left="3217" w:hanging="180"/>
      </w:pPr>
    </w:lvl>
    <w:lvl w:ilvl="3" w:tplc="0415000F">
      <w:start w:val="1"/>
      <w:numFmt w:val="decimal"/>
      <w:lvlText w:val="%4."/>
      <w:lvlJc w:val="left"/>
      <w:pPr>
        <w:ind w:left="3937" w:hanging="360"/>
      </w:pPr>
    </w:lvl>
    <w:lvl w:ilvl="4" w:tplc="04150019">
      <w:start w:val="1"/>
      <w:numFmt w:val="lowerLetter"/>
      <w:lvlText w:val="%5."/>
      <w:lvlJc w:val="left"/>
      <w:pPr>
        <w:ind w:left="4657" w:hanging="360"/>
      </w:pPr>
    </w:lvl>
    <w:lvl w:ilvl="5" w:tplc="0415001B">
      <w:start w:val="1"/>
      <w:numFmt w:val="lowerRoman"/>
      <w:lvlText w:val="%6."/>
      <w:lvlJc w:val="right"/>
      <w:pPr>
        <w:ind w:left="5377" w:hanging="180"/>
      </w:pPr>
    </w:lvl>
    <w:lvl w:ilvl="6" w:tplc="0415000F">
      <w:start w:val="1"/>
      <w:numFmt w:val="decimal"/>
      <w:lvlText w:val="%7."/>
      <w:lvlJc w:val="left"/>
      <w:pPr>
        <w:ind w:left="6097" w:hanging="360"/>
      </w:pPr>
    </w:lvl>
    <w:lvl w:ilvl="7" w:tplc="04150019">
      <w:start w:val="1"/>
      <w:numFmt w:val="lowerLetter"/>
      <w:lvlText w:val="%8."/>
      <w:lvlJc w:val="left"/>
      <w:pPr>
        <w:ind w:left="6817" w:hanging="360"/>
      </w:pPr>
    </w:lvl>
    <w:lvl w:ilvl="8" w:tplc="0415001B">
      <w:start w:val="1"/>
      <w:numFmt w:val="lowerRoman"/>
      <w:lvlText w:val="%9."/>
      <w:lvlJc w:val="right"/>
      <w:pPr>
        <w:ind w:left="7537" w:hanging="180"/>
      </w:pPr>
    </w:lvl>
  </w:abstractNum>
  <w:abstractNum w:abstractNumId="19" w15:restartNumberingAfterBreak="0">
    <w:nsid w:val="6BA154E9"/>
    <w:multiLevelType w:val="hybridMultilevel"/>
    <w:tmpl w:val="F394036E"/>
    <w:lvl w:ilvl="0" w:tplc="FFFFFFFF">
      <w:start w:val="1"/>
      <w:numFmt w:val="decimal"/>
      <w:lvlText w:val="%1."/>
      <w:lvlJc w:val="left"/>
      <w:pPr>
        <w:ind w:left="644" w:hanging="360"/>
      </w:pPr>
      <w:rPr>
        <w:rFonts w:ascii="Calibri" w:eastAsia="Calibri" w:hAnsi="Calibri" w:cs="Calibri"/>
      </w:rPr>
    </w:lvl>
    <w:lvl w:ilvl="1" w:tplc="FFFFFFFF" w:tentative="1">
      <w:start w:val="1"/>
      <w:numFmt w:val="lowerLetter"/>
      <w:lvlText w:val="%2."/>
      <w:lvlJc w:val="left"/>
      <w:pPr>
        <w:ind w:left="-545" w:hanging="360"/>
      </w:pPr>
    </w:lvl>
    <w:lvl w:ilvl="2" w:tplc="FFFFFFFF" w:tentative="1">
      <w:start w:val="1"/>
      <w:numFmt w:val="lowerRoman"/>
      <w:lvlText w:val="%3."/>
      <w:lvlJc w:val="right"/>
      <w:pPr>
        <w:ind w:left="175" w:hanging="180"/>
      </w:pPr>
    </w:lvl>
    <w:lvl w:ilvl="3" w:tplc="FFFFFFFF">
      <w:start w:val="1"/>
      <w:numFmt w:val="decimal"/>
      <w:lvlText w:val="%4."/>
      <w:lvlJc w:val="left"/>
      <w:pPr>
        <w:ind w:left="-1483" w:hanging="360"/>
      </w:pPr>
    </w:lvl>
    <w:lvl w:ilvl="4" w:tplc="FFFFFFFF" w:tentative="1">
      <w:start w:val="1"/>
      <w:numFmt w:val="lowerLetter"/>
      <w:lvlText w:val="%5."/>
      <w:lvlJc w:val="left"/>
      <w:pPr>
        <w:ind w:left="1615" w:hanging="360"/>
      </w:pPr>
    </w:lvl>
    <w:lvl w:ilvl="5" w:tplc="FFFFFFFF" w:tentative="1">
      <w:start w:val="1"/>
      <w:numFmt w:val="lowerRoman"/>
      <w:lvlText w:val="%6."/>
      <w:lvlJc w:val="right"/>
      <w:pPr>
        <w:ind w:left="2335" w:hanging="180"/>
      </w:pPr>
    </w:lvl>
    <w:lvl w:ilvl="6" w:tplc="FFFFFFFF" w:tentative="1">
      <w:start w:val="1"/>
      <w:numFmt w:val="decimal"/>
      <w:lvlText w:val="%7."/>
      <w:lvlJc w:val="left"/>
      <w:pPr>
        <w:ind w:left="3055" w:hanging="360"/>
      </w:pPr>
    </w:lvl>
    <w:lvl w:ilvl="7" w:tplc="FFFFFFFF" w:tentative="1">
      <w:start w:val="1"/>
      <w:numFmt w:val="lowerLetter"/>
      <w:lvlText w:val="%8."/>
      <w:lvlJc w:val="left"/>
      <w:pPr>
        <w:ind w:left="3775" w:hanging="360"/>
      </w:pPr>
    </w:lvl>
    <w:lvl w:ilvl="8" w:tplc="FFFFFFFF" w:tentative="1">
      <w:start w:val="1"/>
      <w:numFmt w:val="lowerRoman"/>
      <w:lvlText w:val="%9."/>
      <w:lvlJc w:val="right"/>
      <w:pPr>
        <w:ind w:left="4495" w:hanging="180"/>
      </w:pPr>
    </w:lvl>
  </w:abstractNum>
  <w:abstractNum w:abstractNumId="20" w15:restartNumberingAfterBreak="0">
    <w:nsid w:val="6DE52E1E"/>
    <w:multiLevelType w:val="hybridMultilevel"/>
    <w:tmpl w:val="347E3A4A"/>
    <w:lvl w:ilvl="0" w:tplc="FFFFFFFF">
      <w:start w:val="1"/>
      <w:numFmt w:val="decimal"/>
      <w:lvlText w:val="%1."/>
      <w:lvlJc w:val="left"/>
      <w:pPr>
        <w:ind w:left="644" w:hanging="360"/>
      </w:pPr>
    </w:lvl>
    <w:lvl w:ilvl="1" w:tplc="FFFFFFFF">
      <w:start w:val="1"/>
      <w:numFmt w:val="lowerLetter"/>
      <w:lvlText w:val="%2."/>
      <w:lvlJc w:val="left"/>
      <w:pPr>
        <w:ind w:left="1713" w:hanging="360"/>
      </w:pPr>
    </w:lvl>
    <w:lvl w:ilvl="2" w:tplc="FFFFFFFF">
      <w:start w:val="1"/>
      <w:numFmt w:val="lowerRoman"/>
      <w:lvlText w:val="%3."/>
      <w:lvlJc w:val="right"/>
      <w:pPr>
        <w:ind w:left="2433" w:hanging="180"/>
      </w:pPr>
    </w:lvl>
    <w:lvl w:ilvl="3" w:tplc="FFFFFFFF">
      <w:start w:val="1"/>
      <w:numFmt w:val="decimal"/>
      <w:lvlText w:val="%4."/>
      <w:lvlJc w:val="left"/>
      <w:pPr>
        <w:ind w:left="644" w:hanging="360"/>
      </w:pPr>
    </w:lvl>
    <w:lvl w:ilvl="4" w:tplc="FFFFFFFF">
      <w:start w:val="1"/>
      <w:numFmt w:val="lowerLetter"/>
      <w:lvlText w:val="%5."/>
      <w:lvlJc w:val="left"/>
      <w:pPr>
        <w:ind w:left="3873" w:hanging="360"/>
      </w:pPr>
    </w:lvl>
    <w:lvl w:ilvl="5" w:tplc="FFFFFFFF">
      <w:start w:val="1"/>
      <w:numFmt w:val="lowerRoman"/>
      <w:lvlText w:val="%6."/>
      <w:lvlJc w:val="right"/>
      <w:pPr>
        <w:ind w:left="4593" w:hanging="180"/>
      </w:pPr>
    </w:lvl>
    <w:lvl w:ilvl="6" w:tplc="FFFFFFFF">
      <w:start w:val="1"/>
      <w:numFmt w:val="decimal"/>
      <w:lvlText w:val="%7."/>
      <w:lvlJc w:val="left"/>
      <w:pPr>
        <w:ind w:left="5313" w:hanging="360"/>
      </w:pPr>
    </w:lvl>
    <w:lvl w:ilvl="7" w:tplc="FFFFFFFF">
      <w:start w:val="1"/>
      <w:numFmt w:val="lowerLetter"/>
      <w:lvlText w:val="%8."/>
      <w:lvlJc w:val="left"/>
      <w:pPr>
        <w:ind w:left="6033" w:hanging="360"/>
      </w:pPr>
    </w:lvl>
    <w:lvl w:ilvl="8" w:tplc="FFFFFFFF">
      <w:start w:val="1"/>
      <w:numFmt w:val="lowerRoman"/>
      <w:lvlText w:val="%9."/>
      <w:lvlJc w:val="right"/>
      <w:pPr>
        <w:ind w:left="6753" w:hanging="180"/>
      </w:pPr>
    </w:lvl>
  </w:abstractNum>
  <w:abstractNum w:abstractNumId="21" w15:restartNumberingAfterBreak="0">
    <w:nsid w:val="74373BEA"/>
    <w:multiLevelType w:val="hybridMultilevel"/>
    <w:tmpl w:val="347E3A4A"/>
    <w:lvl w:ilvl="0" w:tplc="FFFFFFFF">
      <w:start w:val="1"/>
      <w:numFmt w:val="decimal"/>
      <w:lvlText w:val="%1."/>
      <w:lvlJc w:val="left"/>
      <w:pPr>
        <w:ind w:left="644" w:hanging="360"/>
      </w:pPr>
    </w:lvl>
    <w:lvl w:ilvl="1" w:tplc="FFFFFFFF">
      <w:start w:val="1"/>
      <w:numFmt w:val="lowerLetter"/>
      <w:lvlText w:val="%2."/>
      <w:lvlJc w:val="left"/>
      <w:pPr>
        <w:ind w:left="1713" w:hanging="360"/>
      </w:pPr>
    </w:lvl>
    <w:lvl w:ilvl="2" w:tplc="FFFFFFFF">
      <w:start w:val="1"/>
      <w:numFmt w:val="lowerRoman"/>
      <w:lvlText w:val="%3."/>
      <w:lvlJc w:val="right"/>
      <w:pPr>
        <w:ind w:left="2433" w:hanging="180"/>
      </w:pPr>
    </w:lvl>
    <w:lvl w:ilvl="3" w:tplc="FFFFFFFF">
      <w:start w:val="1"/>
      <w:numFmt w:val="decimal"/>
      <w:lvlText w:val="%4."/>
      <w:lvlJc w:val="left"/>
      <w:pPr>
        <w:ind w:left="644" w:hanging="360"/>
      </w:pPr>
    </w:lvl>
    <w:lvl w:ilvl="4" w:tplc="FFFFFFFF">
      <w:start w:val="1"/>
      <w:numFmt w:val="lowerLetter"/>
      <w:lvlText w:val="%5."/>
      <w:lvlJc w:val="left"/>
      <w:pPr>
        <w:ind w:left="3873" w:hanging="360"/>
      </w:pPr>
    </w:lvl>
    <w:lvl w:ilvl="5" w:tplc="FFFFFFFF">
      <w:start w:val="1"/>
      <w:numFmt w:val="lowerRoman"/>
      <w:lvlText w:val="%6."/>
      <w:lvlJc w:val="right"/>
      <w:pPr>
        <w:ind w:left="4593" w:hanging="180"/>
      </w:pPr>
    </w:lvl>
    <w:lvl w:ilvl="6" w:tplc="FFFFFFFF">
      <w:start w:val="1"/>
      <w:numFmt w:val="decimal"/>
      <w:lvlText w:val="%7."/>
      <w:lvlJc w:val="left"/>
      <w:pPr>
        <w:ind w:left="5313" w:hanging="360"/>
      </w:pPr>
    </w:lvl>
    <w:lvl w:ilvl="7" w:tplc="FFFFFFFF">
      <w:start w:val="1"/>
      <w:numFmt w:val="lowerLetter"/>
      <w:lvlText w:val="%8."/>
      <w:lvlJc w:val="left"/>
      <w:pPr>
        <w:ind w:left="6033" w:hanging="360"/>
      </w:pPr>
    </w:lvl>
    <w:lvl w:ilvl="8" w:tplc="FFFFFFFF">
      <w:start w:val="1"/>
      <w:numFmt w:val="lowerRoman"/>
      <w:lvlText w:val="%9."/>
      <w:lvlJc w:val="right"/>
      <w:pPr>
        <w:ind w:left="6753" w:hanging="180"/>
      </w:pPr>
    </w:lvl>
  </w:abstractNum>
  <w:abstractNum w:abstractNumId="22" w15:restartNumberingAfterBreak="0">
    <w:nsid w:val="77524A0E"/>
    <w:multiLevelType w:val="hybridMultilevel"/>
    <w:tmpl w:val="9D0C65CC"/>
    <w:lvl w:ilvl="0" w:tplc="FFFFFFFF">
      <w:start w:val="1"/>
      <w:numFmt w:val="lowerLetter"/>
      <w:lvlText w:val="%1)"/>
      <w:lvlJc w:val="left"/>
      <w:pPr>
        <w:ind w:left="1919" w:hanging="360"/>
      </w:pPr>
    </w:lvl>
    <w:lvl w:ilvl="1" w:tplc="FFFFFFFF">
      <w:start w:val="1"/>
      <w:numFmt w:val="lowerLetter"/>
      <w:lvlText w:val="%2."/>
      <w:lvlJc w:val="left"/>
      <w:pPr>
        <w:ind w:left="2639" w:hanging="360"/>
      </w:pPr>
    </w:lvl>
    <w:lvl w:ilvl="2" w:tplc="FFFFFFFF">
      <w:start w:val="1"/>
      <w:numFmt w:val="lowerRoman"/>
      <w:lvlText w:val="%3."/>
      <w:lvlJc w:val="right"/>
      <w:pPr>
        <w:ind w:left="3359" w:hanging="180"/>
      </w:pPr>
    </w:lvl>
    <w:lvl w:ilvl="3" w:tplc="FFFFFFFF">
      <w:start w:val="1"/>
      <w:numFmt w:val="decimal"/>
      <w:lvlText w:val="%4."/>
      <w:lvlJc w:val="left"/>
      <w:pPr>
        <w:ind w:left="4079" w:hanging="360"/>
      </w:pPr>
    </w:lvl>
    <w:lvl w:ilvl="4" w:tplc="FFFFFFFF">
      <w:start w:val="1"/>
      <w:numFmt w:val="lowerLetter"/>
      <w:lvlText w:val="%5."/>
      <w:lvlJc w:val="left"/>
      <w:pPr>
        <w:ind w:left="4799" w:hanging="360"/>
      </w:pPr>
    </w:lvl>
    <w:lvl w:ilvl="5" w:tplc="FFFFFFFF">
      <w:start w:val="1"/>
      <w:numFmt w:val="lowerRoman"/>
      <w:lvlText w:val="%6."/>
      <w:lvlJc w:val="right"/>
      <w:pPr>
        <w:ind w:left="5519" w:hanging="180"/>
      </w:pPr>
    </w:lvl>
    <w:lvl w:ilvl="6" w:tplc="FFFFFFFF">
      <w:start w:val="1"/>
      <w:numFmt w:val="decimal"/>
      <w:lvlText w:val="%7."/>
      <w:lvlJc w:val="left"/>
      <w:pPr>
        <w:ind w:left="6239" w:hanging="360"/>
      </w:pPr>
    </w:lvl>
    <w:lvl w:ilvl="7" w:tplc="FFFFFFFF">
      <w:start w:val="1"/>
      <w:numFmt w:val="lowerLetter"/>
      <w:lvlText w:val="%8."/>
      <w:lvlJc w:val="left"/>
      <w:pPr>
        <w:ind w:left="6959" w:hanging="360"/>
      </w:pPr>
    </w:lvl>
    <w:lvl w:ilvl="8" w:tplc="FFFFFFFF">
      <w:start w:val="1"/>
      <w:numFmt w:val="lowerRoman"/>
      <w:lvlText w:val="%9."/>
      <w:lvlJc w:val="right"/>
      <w:pPr>
        <w:ind w:left="7679" w:hanging="180"/>
      </w:pPr>
    </w:lvl>
  </w:abstractNum>
  <w:num w:numId="1">
    <w:abstractNumId w:val="1"/>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num>
  <w:num w:numId="16">
    <w:abstractNumId w:val="19"/>
  </w:num>
  <w:num w:numId="17">
    <w:abstractNumId w:val="2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num>
  <w:num w:numId="21">
    <w:abstractNumId w:val="5"/>
  </w:num>
  <w:num w:numId="22">
    <w:abstractNumId w:val="13"/>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76"/>
    <w:rsid w:val="00002716"/>
    <w:rsid w:val="00002C11"/>
    <w:rsid w:val="000030C5"/>
    <w:rsid w:val="000033B0"/>
    <w:rsid w:val="00003DEB"/>
    <w:rsid w:val="00004427"/>
    <w:rsid w:val="00004BAA"/>
    <w:rsid w:val="00005330"/>
    <w:rsid w:val="00010873"/>
    <w:rsid w:val="00010BC2"/>
    <w:rsid w:val="00011D9B"/>
    <w:rsid w:val="000126F8"/>
    <w:rsid w:val="00013256"/>
    <w:rsid w:val="000136F8"/>
    <w:rsid w:val="00013F4E"/>
    <w:rsid w:val="00014BD3"/>
    <w:rsid w:val="00014C34"/>
    <w:rsid w:val="00014E4B"/>
    <w:rsid w:val="000207B6"/>
    <w:rsid w:val="00020FD4"/>
    <w:rsid w:val="0002157C"/>
    <w:rsid w:val="000226AB"/>
    <w:rsid w:val="00022FD8"/>
    <w:rsid w:val="00024EA9"/>
    <w:rsid w:val="00026B79"/>
    <w:rsid w:val="00026F6E"/>
    <w:rsid w:val="00027378"/>
    <w:rsid w:val="000273F9"/>
    <w:rsid w:val="00031757"/>
    <w:rsid w:val="00033297"/>
    <w:rsid w:val="00035F36"/>
    <w:rsid w:val="00041960"/>
    <w:rsid w:val="00044468"/>
    <w:rsid w:val="0004501D"/>
    <w:rsid w:val="0004528D"/>
    <w:rsid w:val="000452EC"/>
    <w:rsid w:val="000479EB"/>
    <w:rsid w:val="000517E0"/>
    <w:rsid w:val="00051F49"/>
    <w:rsid w:val="00052D29"/>
    <w:rsid w:val="000536C3"/>
    <w:rsid w:val="000546F0"/>
    <w:rsid w:val="00055219"/>
    <w:rsid w:val="00055DCA"/>
    <w:rsid w:val="000575F4"/>
    <w:rsid w:val="000578F3"/>
    <w:rsid w:val="00060437"/>
    <w:rsid w:val="00060BFE"/>
    <w:rsid w:val="00061E7E"/>
    <w:rsid w:val="0006431A"/>
    <w:rsid w:val="00065371"/>
    <w:rsid w:val="00066827"/>
    <w:rsid w:val="000710BD"/>
    <w:rsid w:val="000716B1"/>
    <w:rsid w:val="000719CA"/>
    <w:rsid w:val="00072D0F"/>
    <w:rsid w:val="000735D4"/>
    <w:rsid w:val="000750FE"/>
    <w:rsid w:val="0007713A"/>
    <w:rsid w:val="000775A6"/>
    <w:rsid w:val="000830D5"/>
    <w:rsid w:val="000838A4"/>
    <w:rsid w:val="00085031"/>
    <w:rsid w:val="00085D5A"/>
    <w:rsid w:val="000902D9"/>
    <w:rsid w:val="00092696"/>
    <w:rsid w:val="000930A6"/>
    <w:rsid w:val="00093297"/>
    <w:rsid w:val="00093D27"/>
    <w:rsid w:val="000946AF"/>
    <w:rsid w:val="00096214"/>
    <w:rsid w:val="000963DC"/>
    <w:rsid w:val="0009690A"/>
    <w:rsid w:val="00097D21"/>
    <w:rsid w:val="000A14C0"/>
    <w:rsid w:val="000A19FE"/>
    <w:rsid w:val="000A3B87"/>
    <w:rsid w:val="000A52A3"/>
    <w:rsid w:val="000A535A"/>
    <w:rsid w:val="000A541E"/>
    <w:rsid w:val="000A6341"/>
    <w:rsid w:val="000B0B13"/>
    <w:rsid w:val="000B2D34"/>
    <w:rsid w:val="000B2EA3"/>
    <w:rsid w:val="000B60CD"/>
    <w:rsid w:val="000B61D6"/>
    <w:rsid w:val="000B6674"/>
    <w:rsid w:val="000B6E46"/>
    <w:rsid w:val="000C1AEB"/>
    <w:rsid w:val="000C1D62"/>
    <w:rsid w:val="000C2E56"/>
    <w:rsid w:val="000C350C"/>
    <w:rsid w:val="000C3F38"/>
    <w:rsid w:val="000C4D0E"/>
    <w:rsid w:val="000D0CB8"/>
    <w:rsid w:val="000D19F2"/>
    <w:rsid w:val="000D32EE"/>
    <w:rsid w:val="000D3CE5"/>
    <w:rsid w:val="000D5580"/>
    <w:rsid w:val="000D6438"/>
    <w:rsid w:val="000E0C8E"/>
    <w:rsid w:val="000E1000"/>
    <w:rsid w:val="000E11F1"/>
    <w:rsid w:val="000E233D"/>
    <w:rsid w:val="000E727D"/>
    <w:rsid w:val="000F0A98"/>
    <w:rsid w:val="000F0DB5"/>
    <w:rsid w:val="000F0FE3"/>
    <w:rsid w:val="000F1DC2"/>
    <w:rsid w:val="000F27BA"/>
    <w:rsid w:val="000F295C"/>
    <w:rsid w:val="000F371F"/>
    <w:rsid w:val="000F5534"/>
    <w:rsid w:val="001006CA"/>
    <w:rsid w:val="00102423"/>
    <w:rsid w:val="00102E5E"/>
    <w:rsid w:val="00103622"/>
    <w:rsid w:val="00104E9D"/>
    <w:rsid w:val="0011161E"/>
    <w:rsid w:val="00111792"/>
    <w:rsid w:val="00112990"/>
    <w:rsid w:val="00114FDE"/>
    <w:rsid w:val="001151F7"/>
    <w:rsid w:val="0011644D"/>
    <w:rsid w:val="001207FB"/>
    <w:rsid w:val="00121F2F"/>
    <w:rsid w:val="0012200A"/>
    <w:rsid w:val="00122920"/>
    <w:rsid w:val="0012340D"/>
    <w:rsid w:val="001265AA"/>
    <w:rsid w:val="001269E3"/>
    <w:rsid w:val="00126C9B"/>
    <w:rsid w:val="00130E21"/>
    <w:rsid w:val="0013162B"/>
    <w:rsid w:val="00132408"/>
    <w:rsid w:val="001327DB"/>
    <w:rsid w:val="0013531F"/>
    <w:rsid w:val="0013551A"/>
    <w:rsid w:val="001403E0"/>
    <w:rsid w:val="0014332C"/>
    <w:rsid w:val="00143B24"/>
    <w:rsid w:val="001441AC"/>
    <w:rsid w:val="001458FD"/>
    <w:rsid w:val="001465A3"/>
    <w:rsid w:val="00147964"/>
    <w:rsid w:val="00147AAF"/>
    <w:rsid w:val="00151DCF"/>
    <w:rsid w:val="00153D22"/>
    <w:rsid w:val="00154ACF"/>
    <w:rsid w:val="00155295"/>
    <w:rsid w:val="001564A5"/>
    <w:rsid w:val="00156913"/>
    <w:rsid w:val="0015758E"/>
    <w:rsid w:val="00161757"/>
    <w:rsid w:val="00161C30"/>
    <w:rsid w:val="00163152"/>
    <w:rsid w:val="00163A32"/>
    <w:rsid w:val="001646BF"/>
    <w:rsid w:val="0016599A"/>
    <w:rsid w:val="00166BB0"/>
    <w:rsid w:val="00166C13"/>
    <w:rsid w:val="0016769F"/>
    <w:rsid w:val="00167E2F"/>
    <w:rsid w:val="00167F0A"/>
    <w:rsid w:val="00171650"/>
    <w:rsid w:val="00172E83"/>
    <w:rsid w:val="001732EA"/>
    <w:rsid w:val="00173CB5"/>
    <w:rsid w:val="00174500"/>
    <w:rsid w:val="00177C52"/>
    <w:rsid w:val="00185AB9"/>
    <w:rsid w:val="0018786E"/>
    <w:rsid w:val="00190D56"/>
    <w:rsid w:val="00192DD1"/>
    <w:rsid w:val="001956FC"/>
    <w:rsid w:val="00195E39"/>
    <w:rsid w:val="00195FFC"/>
    <w:rsid w:val="001961B6"/>
    <w:rsid w:val="0019659C"/>
    <w:rsid w:val="00196D68"/>
    <w:rsid w:val="00197224"/>
    <w:rsid w:val="001A127E"/>
    <w:rsid w:val="001A2567"/>
    <w:rsid w:val="001A2A5C"/>
    <w:rsid w:val="001A4E04"/>
    <w:rsid w:val="001B0FAC"/>
    <w:rsid w:val="001B152A"/>
    <w:rsid w:val="001B1EA4"/>
    <w:rsid w:val="001B440A"/>
    <w:rsid w:val="001B49B1"/>
    <w:rsid w:val="001B6732"/>
    <w:rsid w:val="001B731A"/>
    <w:rsid w:val="001C0EAF"/>
    <w:rsid w:val="001C20EE"/>
    <w:rsid w:val="001C26C2"/>
    <w:rsid w:val="001C3349"/>
    <w:rsid w:val="001C3538"/>
    <w:rsid w:val="001C4B06"/>
    <w:rsid w:val="001C4FD3"/>
    <w:rsid w:val="001C5490"/>
    <w:rsid w:val="001C5DAD"/>
    <w:rsid w:val="001D1C13"/>
    <w:rsid w:val="001D233E"/>
    <w:rsid w:val="001D258D"/>
    <w:rsid w:val="001D2B35"/>
    <w:rsid w:val="001D353E"/>
    <w:rsid w:val="001D5417"/>
    <w:rsid w:val="001D7381"/>
    <w:rsid w:val="001E3EF2"/>
    <w:rsid w:val="001F0265"/>
    <w:rsid w:val="001F0850"/>
    <w:rsid w:val="001F0A60"/>
    <w:rsid w:val="001F142C"/>
    <w:rsid w:val="001F2491"/>
    <w:rsid w:val="001F2731"/>
    <w:rsid w:val="001F499D"/>
    <w:rsid w:val="001F5624"/>
    <w:rsid w:val="001F7A84"/>
    <w:rsid w:val="00200059"/>
    <w:rsid w:val="00204E20"/>
    <w:rsid w:val="002051F1"/>
    <w:rsid w:val="00205236"/>
    <w:rsid w:val="00206A9B"/>
    <w:rsid w:val="00206D7B"/>
    <w:rsid w:val="00212690"/>
    <w:rsid w:val="002138FE"/>
    <w:rsid w:val="00216CDB"/>
    <w:rsid w:val="00217FE7"/>
    <w:rsid w:val="00220E6E"/>
    <w:rsid w:val="002213D4"/>
    <w:rsid w:val="00221B84"/>
    <w:rsid w:val="00226F6C"/>
    <w:rsid w:val="00230836"/>
    <w:rsid w:val="00232644"/>
    <w:rsid w:val="00233BA6"/>
    <w:rsid w:val="002341C7"/>
    <w:rsid w:val="002345BB"/>
    <w:rsid w:val="002346C3"/>
    <w:rsid w:val="002356F2"/>
    <w:rsid w:val="00237DCA"/>
    <w:rsid w:val="00237F1A"/>
    <w:rsid w:val="002402E3"/>
    <w:rsid w:val="0024156E"/>
    <w:rsid w:val="00243BEF"/>
    <w:rsid w:val="002447AC"/>
    <w:rsid w:val="00246B54"/>
    <w:rsid w:val="00247E13"/>
    <w:rsid w:val="002511F5"/>
    <w:rsid w:val="0025584C"/>
    <w:rsid w:val="00255BA9"/>
    <w:rsid w:val="00257186"/>
    <w:rsid w:val="0025748C"/>
    <w:rsid w:val="002612FF"/>
    <w:rsid w:val="00264AC4"/>
    <w:rsid w:val="00264AF5"/>
    <w:rsid w:val="00265DDA"/>
    <w:rsid w:val="00265E3C"/>
    <w:rsid w:val="00266758"/>
    <w:rsid w:val="0026712B"/>
    <w:rsid w:val="00270BF4"/>
    <w:rsid w:val="00274C07"/>
    <w:rsid w:val="00274E01"/>
    <w:rsid w:val="00274ED6"/>
    <w:rsid w:val="00276422"/>
    <w:rsid w:val="002771E9"/>
    <w:rsid w:val="002808FF"/>
    <w:rsid w:val="00280B0A"/>
    <w:rsid w:val="00282514"/>
    <w:rsid w:val="0028442F"/>
    <w:rsid w:val="002844AD"/>
    <w:rsid w:val="002845CA"/>
    <w:rsid w:val="0028528D"/>
    <w:rsid w:val="00286415"/>
    <w:rsid w:val="00286462"/>
    <w:rsid w:val="00286819"/>
    <w:rsid w:val="00286D53"/>
    <w:rsid w:val="00292272"/>
    <w:rsid w:val="002929A1"/>
    <w:rsid w:val="00293159"/>
    <w:rsid w:val="00295365"/>
    <w:rsid w:val="00295991"/>
    <w:rsid w:val="002A0C7D"/>
    <w:rsid w:val="002A26E4"/>
    <w:rsid w:val="002A4EF0"/>
    <w:rsid w:val="002A5706"/>
    <w:rsid w:val="002A7AD7"/>
    <w:rsid w:val="002A7FFE"/>
    <w:rsid w:val="002B11C1"/>
    <w:rsid w:val="002B39DD"/>
    <w:rsid w:val="002B6A7C"/>
    <w:rsid w:val="002B7B88"/>
    <w:rsid w:val="002C3442"/>
    <w:rsid w:val="002C506D"/>
    <w:rsid w:val="002C5EEF"/>
    <w:rsid w:val="002C6DBC"/>
    <w:rsid w:val="002D0452"/>
    <w:rsid w:val="002D0FD4"/>
    <w:rsid w:val="002D1202"/>
    <w:rsid w:val="002D1C48"/>
    <w:rsid w:val="002D388F"/>
    <w:rsid w:val="002D64E4"/>
    <w:rsid w:val="002E0530"/>
    <w:rsid w:val="002E0F33"/>
    <w:rsid w:val="002F03F4"/>
    <w:rsid w:val="002F0D52"/>
    <w:rsid w:val="002F2365"/>
    <w:rsid w:val="00300470"/>
    <w:rsid w:val="00302ECE"/>
    <w:rsid w:val="0030415C"/>
    <w:rsid w:val="003077F0"/>
    <w:rsid w:val="00311166"/>
    <w:rsid w:val="0031356C"/>
    <w:rsid w:val="003152BA"/>
    <w:rsid w:val="003156FE"/>
    <w:rsid w:val="003172E1"/>
    <w:rsid w:val="00321EA9"/>
    <w:rsid w:val="0032438B"/>
    <w:rsid w:val="0032586B"/>
    <w:rsid w:val="003279C0"/>
    <w:rsid w:val="00333542"/>
    <w:rsid w:val="00333757"/>
    <w:rsid w:val="003369D7"/>
    <w:rsid w:val="00337933"/>
    <w:rsid w:val="00337B7D"/>
    <w:rsid w:val="003408A3"/>
    <w:rsid w:val="00341148"/>
    <w:rsid w:val="003419FE"/>
    <w:rsid w:val="00342319"/>
    <w:rsid w:val="0034256A"/>
    <w:rsid w:val="003427CC"/>
    <w:rsid w:val="00343915"/>
    <w:rsid w:val="00344C2E"/>
    <w:rsid w:val="0035028A"/>
    <w:rsid w:val="003503E6"/>
    <w:rsid w:val="003505BD"/>
    <w:rsid w:val="003551F5"/>
    <w:rsid w:val="003562D8"/>
    <w:rsid w:val="00357B63"/>
    <w:rsid w:val="003635C4"/>
    <w:rsid w:val="00366631"/>
    <w:rsid w:val="0037035F"/>
    <w:rsid w:val="00375439"/>
    <w:rsid w:val="00375725"/>
    <w:rsid w:val="003812EC"/>
    <w:rsid w:val="00382157"/>
    <w:rsid w:val="003837CF"/>
    <w:rsid w:val="00385819"/>
    <w:rsid w:val="003864F6"/>
    <w:rsid w:val="00386F9F"/>
    <w:rsid w:val="003874B4"/>
    <w:rsid w:val="0038795D"/>
    <w:rsid w:val="0039020E"/>
    <w:rsid w:val="00393A90"/>
    <w:rsid w:val="00394271"/>
    <w:rsid w:val="00394558"/>
    <w:rsid w:val="00396B8B"/>
    <w:rsid w:val="003976F1"/>
    <w:rsid w:val="003A0D84"/>
    <w:rsid w:val="003A18B1"/>
    <w:rsid w:val="003A4CF0"/>
    <w:rsid w:val="003A5C56"/>
    <w:rsid w:val="003A64E1"/>
    <w:rsid w:val="003A6EEF"/>
    <w:rsid w:val="003B609B"/>
    <w:rsid w:val="003B7BE6"/>
    <w:rsid w:val="003C14C7"/>
    <w:rsid w:val="003C1B34"/>
    <w:rsid w:val="003C1E3A"/>
    <w:rsid w:val="003C2446"/>
    <w:rsid w:val="003C3484"/>
    <w:rsid w:val="003C4BEB"/>
    <w:rsid w:val="003C5D10"/>
    <w:rsid w:val="003C6847"/>
    <w:rsid w:val="003C69E2"/>
    <w:rsid w:val="003C7C72"/>
    <w:rsid w:val="003C7F80"/>
    <w:rsid w:val="003D1574"/>
    <w:rsid w:val="003D16CC"/>
    <w:rsid w:val="003D196C"/>
    <w:rsid w:val="003D23B8"/>
    <w:rsid w:val="003D3F38"/>
    <w:rsid w:val="003D48A9"/>
    <w:rsid w:val="003D6269"/>
    <w:rsid w:val="003D779C"/>
    <w:rsid w:val="003E18F6"/>
    <w:rsid w:val="003E4786"/>
    <w:rsid w:val="003E4EB8"/>
    <w:rsid w:val="003E65DD"/>
    <w:rsid w:val="003E789C"/>
    <w:rsid w:val="003F06BC"/>
    <w:rsid w:val="003F1B5D"/>
    <w:rsid w:val="003F2657"/>
    <w:rsid w:val="003F2A2A"/>
    <w:rsid w:val="003F3A1E"/>
    <w:rsid w:val="003F4AE5"/>
    <w:rsid w:val="003F5E54"/>
    <w:rsid w:val="003F5FC4"/>
    <w:rsid w:val="003F6996"/>
    <w:rsid w:val="003F6DBA"/>
    <w:rsid w:val="00400591"/>
    <w:rsid w:val="00400805"/>
    <w:rsid w:val="00401751"/>
    <w:rsid w:val="00402411"/>
    <w:rsid w:val="004040CC"/>
    <w:rsid w:val="00404F25"/>
    <w:rsid w:val="00405F06"/>
    <w:rsid w:val="00411E8E"/>
    <w:rsid w:val="00412333"/>
    <w:rsid w:val="0041286D"/>
    <w:rsid w:val="00413BDB"/>
    <w:rsid w:val="00417BC4"/>
    <w:rsid w:val="00420F07"/>
    <w:rsid w:val="00422796"/>
    <w:rsid w:val="00422B6C"/>
    <w:rsid w:val="0042698F"/>
    <w:rsid w:val="0042770F"/>
    <w:rsid w:val="00427DC6"/>
    <w:rsid w:val="00430BBE"/>
    <w:rsid w:val="0043189E"/>
    <w:rsid w:val="00433EC4"/>
    <w:rsid w:val="00434E13"/>
    <w:rsid w:val="00435608"/>
    <w:rsid w:val="004378F6"/>
    <w:rsid w:val="00441A43"/>
    <w:rsid w:val="00442315"/>
    <w:rsid w:val="004438FE"/>
    <w:rsid w:val="00444696"/>
    <w:rsid w:val="00445D37"/>
    <w:rsid w:val="00445D82"/>
    <w:rsid w:val="00447A34"/>
    <w:rsid w:val="004501FA"/>
    <w:rsid w:val="00451794"/>
    <w:rsid w:val="00451A01"/>
    <w:rsid w:val="00452C7E"/>
    <w:rsid w:val="00452D63"/>
    <w:rsid w:val="00456671"/>
    <w:rsid w:val="004577BB"/>
    <w:rsid w:val="0046029D"/>
    <w:rsid w:val="00460770"/>
    <w:rsid w:val="00462149"/>
    <w:rsid w:val="00462C9B"/>
    <w:rsid w:val="00462E12"/>
    <w:rsid w:val="004639AD"/>
    <w:rsid w:val="0046588B"/>
    <w:rsid w:val="00465AF8"/>
    <w:rsid w:val="00465DD6"/>
    <w:rsid w:val="00470E46"/>
    <w:rsid w:val="00474436"/>
    <w:rsid w:val="00480310"/>
    <w:rsid w:val="00480CFB"/>
    <w:rsid w:val="00481808"/>
    <w:rsid w:val="00484575"/>
    <w:rsid w:val="004866B2"/>
    <w:rsid w:val="00486BD1"/>
    <w:rsid w:val="004906AF"/>
    <w:rsid w:val="00491545"/>
    <w:rsid w:val="0049265B"/>
    <w:rsid w:val="00493ED5"/>
    <w:rsid w:val="00494829"/>
    <w:rsid w:val="00497D40"/>
    <w:rsid w:val="004A0163"/>
    <w:rsid w:val="004A1C6A"/>
    <w:rsid w:val="004A1C98"/>
    <w:rsid w:val="004A2F25"/>
    <w:rsid w:val="004A6789"/>
    <w:rsid w:val="004A6A68"/>
    <w:rsid w:val="004B337C"/>
    <w:rsid w:val="004B47A8"/>
    <w:rsid w:val="004B5178"/>
    <w:rsid w:val="004B5C96"/>
    <w:rsid w:val="004B6FAC"/>
    <w:rsid w:val="004B76FF"/>
    <w:rsid w:val="004B7B32"/>
    <w:rsid w:val="004B7C13"/>
    <w:rsid w:val="004C008D"/>
    <w:rsid w:val="004C294F"/>
    <w:rsid w:val="004C2FD9"/>
    <w:rsid w:val="004C4625"/>
    <w:rsid w:val="004C5859"/>
    <w:rsid w:val="004C6971"/>
    <w:rsid w:val="004C769B"/>
    <w:rsid w:val="004D086A"/>
    <w:rsid w:val="004D105C"/>
    <w:rsid w:val="004D111D"/>
    <w:rsid w:val="004D19E6"/>
    <w:rsid w:val="004D5D31"/>
    <w:rsid w:val="004D6CDD"/>
    <w:rsid w:val="004D7430"/>
    <w:rsid w:val="004D77F4"/>
    <w:rsid w:val="004E09B0"/>
    <w:rsid w:val="004E1450"/>
    <w:rsid w:val="004E2899"/>
    <w:rsid w:val="004E3724"/>
    <w:rsid w:val="004E3816"/>
    <w:rsid w:val="004E40BA"/>
    <w:rsid w:val="004E4E56"/>
    <w:rsid w:val="004F177F"/>
    <w:rsid w:val="004F3366"/>
    <w:rsid w:val="004F4478"/>
    <w:rsid w:val="004F74B4"/>
    <w:rsid w:val="00500A9C"/>
    <w:rsid w:val="00502D70"/>
    <w:rsid w:val="005031F9"/>
    <w:rsid w:val="00504B4E"/>
    <w:rsid w:val="00504D14"/>
    <w:rsid w:val="00504F52"/>
    <w:rsid w:val="00505A7C"/>
    <w:rsid w:val="005061BF"/>
    <w:rsid w:val="005066B6"/>
    <w:rsid w:val="005078C3"/>
    <w:rsid w:val="0051110B"/>
    <w:rsid w:val="00511FF8"/>
    <w:rsid w:val="0051256F"/>
    <w:rsid w:val="00522154"/>
    <w:rsid w:val="00522C63"/>
    <w:rsid w:val="00525198"/>
    <w:rsid w:val="00525260"/>
    <w:rsid w:val="00527C0E"/>
    <w:rsid w:val="00527C2F"/>
    <w:rsid w:val="00532F17"/>
    <w:rsid w:val="00532FE4"/>
    <w:rsid w:val="005359CE"/>
    <w:rsid w:val="005370C6"/>
    <w:rsid w:val="00540426"/>
    <w:rsid w:val="005443AF"/>
    <w:rsid w:val="005465BE"/>
    <w:rsid w:val="00546A74"/>
    <w:rsid w:val="0055155A"/>
    <w:rsid w:val="0055197A"/>
    <w:rsid w:val="00551C05"/>
    <w:rsid w:val="00551F43"/>
    <w:rsid w:val="00552B4C"/>
    <w:rsid w:val="00555740"/>
    <w:rsid w:val="00555B35"/>
    <w:rsid w:val="005565E9"/>
    <w:rsid w:val="00556B13"/>
    <w:rsid w:val="00557000"/>
    <w:rsid w:val="00557BE7"/>
    <w:rsid w:val="00557F78"/>
    <w:rsid w:val="00560B36"/>
    <w:rsid w:val="0056391B"/>
    <w:rsid w:val="00566DB0"/>
    <w:rsid w:val="005673D0"/>
    <w:rsid w:val="005701B2"/>
    <w:rsid w:val="00570F16"/>
    <w:rsid w:val="005718FA"/>
    <w:rsid w:val="005719A4"/>
    <w:rsid w:val="005730CF"/>
    <w:rsid w:val="005733C6"/>
    <w:rsid w:val="005736AE"/>
    <w:rsid w:val="005762B7"/>
    <w:rsid w:val="0057754A"/>
    <w:rsid w:val="00577D73"/>
    <w:rsid w:val="00580A00"/>
    <w:rsid w:val="00581973"/>
    <w:rsid w:val="00582C4B"/>
    <w:rsid w:val="00583092"/>
    <w:rsid w:val="00583B25"/>
    <w:rsid w:val="00584219"/>
    <w:rsid w:val="0058555C"/>
    <w:rsid w:val="00587207"/>
    <w:rsid w:val="005874A5"/>
    <w:rsid w:val="005875FC"/>
    <w:rsid w:val="00587D55"/>
    <w:rsid w:val="00587FB8"/>
    <w:rsid w:val="00593020"/>
    <w:rsid w:val="00593062"/>
    <w:rsid w:val="00593CCD"/>
    <w:rsid w:val="005944C0"/>
    <w:rsid w:val="00594F51"/>
    <w:rsid w:val="00595279"/>
    <w:rsid w:val="00597E8D"/>
    <w:rsid w:val="005A0320"/>
    <w:rsid w:val="005A0F04"/>
    <w:rsid w:val="005A1D78"/>
    <w:rsid w:val="005A29FF"/>
    <w:rsid w:val="005A41DA"/>
    <w:rsid w:val="005A4E8A"/>
    <w:rsid w:val="005A50A0"/>
    <w:rsid w:val="005A5C50"/>
    <w:rsid w:val="005A73C9"/>
    <w:rsid w:val="005B1A89"/>
    <w:rsid w:val="005B25FC"/>
    <w:rsid w:val="005B3514"/>
    <w:rsid w:val="005B56FA"/>
    <w:rsid w:val="005B5A6E"/>
    <w:rsid w:val="005B5E2C"/>
    <w:rsid w:val="005B5E8E"/>
    <w:rsid w:val="005B64D9"/>
    <w:rsid w:val="005B69E0"/>
    <w:rsid w:val="005B6FE4"/>
    <w:rsid w:val="005B737E"/>
    <w:rsid w:val="005B7778"/>
    <w:rsid w:val="005C057F"/>
    <w:rsid w:val="005C227D"/>
    <w:rsid w:val="005C4FD6"/>
    <w:rsid w:val="005D1AA3"/>
    <w:rsid w:val="005D3676"/>
    <w:rsid w:val="005D5D9F"/>
    <w:rsid w:val="005E11F5"/>
    <w:rsid w:val="005E259A"/>
    <w:rsid w:val="005E3A0E"/>
    <w:rsid w:val="005E6320"/>
    <w:rsid w:val="005E7723"/>
    <w:rsid w:val="005E7890"/>
    <w:rsid w:val="005E79B9"/>
    <w:rsid w:val="005F0927"/>
    <w:rsid w:val="005F2BA2"/>
    <w:rsid w:val="005F3132"/>
    <w:rsid w:val="005F3667"/>
    <w:rsid w:val="005F3EAE"/>
    <w:rsid w:val="005F4918"/>
    <w:rsid w:val="005F4AA7"/>
    <w:rsid w:val="005F5F25"/>
    <w:rsid w:val="005F5F98"/>
    <w:rsid w:val="005F757E"/>
    <w:rsid w:val="00602461"/>
    <w:rsid w:val="0060557C"/>
    <w:rsid w:val="00605C40"/>
    <w:rsid w:val="00605D03"/>
    <w:rsid w:val="00605D66"/>
    <w:rsid w:val="0060666A"/>
    <w:rsid w:val="00611D1D"/>
    <w:rsid w:val="00612DB6"/>
    <w:rsid w:val="00614CDD"/>
    <w:rsid w:val="006151E2"/>
    <w:rsid w:val="006152CF"/>
    <w:rsid w:val="00621514"/>
    <w:rsid w:val="00622A5B"/>
    <w:rsid w:val="0062383F"/>
    <w:rsid w:val="00623E3E"/>
    <w:rsid w:val="00623EAB"/>
    <w:rsid w:val="006245DC"/>
    <w:rsid w:val="00626307"/>
    <w:rsid w:val="006265B3"/>
    <w:rsid w:val="00626B70"/>
    <w:rsid w:val="00626CD2"/>
    <w:rsid w:val="00631193"/>
    <w:rsid w:val="00631265"/>
    <w:rsid w:val="0063202C"/>
    <w:rsid w:val="00632D17"/>
    <w:rsid w:val="00633EE7"/>
    <w:rsid w:val="006344E6"/>
    <w:rsid w:val="00634BB7"/>
    <w:rsid w:val="00634BCB"/>
    <w:rsid w:val="0063616F"/>
    <w:rsid w:val="00636B37"/>
    <w:rsid w:val="00637367"/>
    <w:rsid w:val="006373D8"/>
    <w:rsid w:val="0063753E"/>
    <w:rsid w:val="00637856"/>
    <w:rsid w:val="00640013"/>
    <w:rsid w:val="00640665"/>
    <w:rsid w:val="006437C6"/>
    <w:rsid w:val="00643AB7"/>
    <w:rsid w:val="00643D64"/>
    <w:rsid w:val="00644CFD"/>
    <w:rsid w:val="00646817"/>
    <w:rsid w:val="006507A9"/>
    <w:rsid w:val="00650BE8"/>
    <w:rsid w:val="006534E2"/>
    <w:rsid w:val="00653E64"/>
    <w:rsid w:val="00655C9F"/>
    <w:rsid w:val="00656433"/>
    <w:rsid w:val="00656D33"/>
    <w:rsid w:val="00657EEE"/>
    <w:rsid w:val="006618CA"/>
    <w:rsid w:val="00661F8B"/>
    <w:rsid w:val="00663BA8"/>
    <w:rsid w:val="00664B92"/>
    <w:rsid w:val="00670763"/>
    <w:rsid w:val="00671C14"/>
    <w:rsid w:val="00672E84"/>
    <w:rsid w:val="0067303B"/>
    <w:rsid w:val="006745AB"/>
    <w:rsid w:val="00674FC4"/>
    <w:rsid w:val="00675EC4"/>
    <w:rsid w:val="0067784B"/>
    <w:rsid w:val="006803CC"/>
    <w:rsid w:val="00680ABA"/>
    <w:rsid w:val="0068333F"/>
    <w:rsid w:val="0068375E"/>
    <w:rsid w:val="006839E1"/>
    <w:rsid w:val="00684527"/>
    <w:rsid w:val="006856FE"/>
    <w:rsid w:val="0068614C"/>
    <w:rsid w:val="0068625E"/>
    <w:rsid w:val="00686462"/>
    <w:rsid w:val="006875CC"/>
    <w:rsid w:val="00687B32"/>
    <w:rsid w:val="0069043D"/>
    <w:rsid w:val="00691754"/>
    <w:rsid w:val="00691C29"/>
    <w:rsid w:val="006923F1"/>
    <w:rsid w:val="00692701"/>
    <w:rsid w:val="00692F6B"/>
    <w:rsid w:val="00695BFD"/>
    <w:rsid w:val="006A0E3F"/>
    <w:rsid w:val="006A1331"/>
    <w:rsid w:val="006A446D"/>
    <w:rsid w:val="006A49EC"/>
    <w:rsid w:val="006A50BE"/>
    <w:rsid w:val="006A566F"/>
    <w:rsid w:val="006A5F3E"/>
    <w:rsid w:val="006B0000"/>
    <w:rsid w:val="006B199D"/>
    <w:rsid w:val="006B1A34"/>
    <w:rsid w:val="006B20E4"/>
    <w:rsid w:val="006B2CB7"/>
    <w:rsid w:val="006B416A"/>
    <w:rsid w:val="006B4680"/>
    <w:rsid w:val="006B4FEB"/>
    <w:rsid w:val="006C24E1"/>
    <w:rsid w:val="006C4D0E"/>
    <w:rsid w:val="006C53D7"/>
    <w:rsid w:val="006C5A18"/>
    <w:rsid w:val="006C69EF"/>
    <w:rsid w:val="006C7A63"/>
    <w:rsid w:val="006D1BB3"/>
    <w:rsid w:val="006D2687"/>
    <w:rsid w:val="006D437B"/>
    <w:rsid w:val="006D480A"/>
    <w:rsid w:val="006D5438"/>
    <w:rsid w:val="006D7092"/>
    <w:rsid w:val="006E06F2"/>
    <w:rsid w:val="006E1909"/>
    <w:rsid w:val="006E24E9"/>
    <w:rsid w:val="006E313B"/>
    <w:rsid w:val="006E38B6"/>
    <w:rsid w:val="006E39B9"/>
    <w:rsid w:val="006E3D31"/>
    <w:rsid w:val="006E6048"/>
    <w:rsid w:val="006E640F"/>
    <w:rsid w:val="006E76B7"/>
    <w:rsid w:val="006F03B0"/>
    <w:rsid w:val="006F115A"/>
    <w:rsid w:val="006F16B4"/>
    <w:rsid w:val="006F2894"/>
    <w:rsid w:val="006F2D5D"/>
    <w:rsid w:val="006F3934"/>
    <w:rsid w:val="006F50A2"/>
    <w:rsid w:val="006F64C7"/>
    <w:rsid w:val="006F7E22"/>
    <w:rsid w:val="00700DAD"/>
    <w:rsid w:val="00704A6F"/>
    <w:rsid w:val="00706E1C"/>
    <w:rsid w:val="00712BC6"/>
    <w:rsid w:val="0071335C"/>
    <w:rsid w:val="007133F1"/>
    <w:rsid w:val="00714570"/>
    <w:rsid w:val="0071479C"/>
    <w:rsid w:val="007147A0"/>
    <w:rsid w:val="007153D4"/>
    <w:rsid w:val="007161E7"/>
    <w:rsid w:val="00720802"/>
    <w:rsid w:val="00723020"/>
    <w:rsid w:val="00723C65"/>
    <w:rsid w:val="007240A4"/>
    <w:rsid w:val="00724BCA"/>
    <w:rsid w:val="00726F6E"/>
    <w:rsid w:val="00730601"/>
    <w:rsid w:val="00730D48"/>
    <w:rsid w:val="00736A56"/>
    <w:rsid w:val="00736EC3"/>
    <w:rsid w:val="00737099"/>
    <w:rsid w:val="007402F9"/>
    <w:rsid w:val="007418CD"/>
    <w:rsid w:val="00742E25"/>
    <w:rsid w:val="0074391D"/>
    <w:rsid w:val="00744A05"/>
    <w:rsid w:val="00745DA8"/>
    <w:rsid w:val="007469EE"/>
    <w:rsid w:val="0075044C"/>
    <w:rsid w:val="007507A9"/>
    <w:rsid w:val="00751017"/>
    <w:rsid w:val="00751263"/>
    <w:rsid w:val="00751FBA"/>
    <w:rsid w:val="00755021"/>
    <w:rsid w:val="007575A7"/>
    <w:rsid w:val="00757C24"/>
    <w:rsid w:val="00760805"/>
    <w:rsid w:val="007612DD"/>
    <w:rsid w:val="00763355"/>
    <w:rsid w:val="00763CAA"/>
    <w:rsid w:val="00764153"/>
    <w:rsid w:val="007646B0"/>
    <w:rsid w:val="0076557D"/>
    <w:rsid w:val="007669A1"/>
    <w:rsid w:val="0076705C"/>
    <w:rsid w:val="007678C3"/>
    <w:rsid w:val="007726C8"/>
    <w:rsid w:val="00772B88"/>
    <w:rsid w:val="007763C1"/>
    <w:rsid w:val="00776E8C"/>
    <w:rsid w:val="00777107"/>
    <w:rsid w:val="00777EE7"/>
    <w:rsid w:val="00783BBE"/>
    <w:rsid w:val="00786501"/>
    <w:rsid w:val="00787024"/>
    <w:rsid w:val="00787AC1"/>
    <w:rsid w:val="00790D09"/>
    <w:rsid w:val="0079191F"/>
    <w:rsid w:val="00793B17"/>
    <w:rsid w:val="00794E37"/>
    <w:rsid w:val="00795A23"/>
    <w:rsid w:val="00795DA9"/>
    <w:rsid w:val="007967B3"/>
    <w:rsid w:val="007972C6"/>
    <w:rsid w:val="007A0372"/>
    <w:rsid w:val="007A042C"/>
    <w:rsid w:val="007A0E4E"/>
    <w:rsid w:val="007A1398"/>
    <w:rsid w:val="007A21DF"/>
    <w:rsid w:val="007A2CD5"/>
    <w:rsid w:val="007A3161"/>
    <w:rsid w:val="007A3B51"/>
    <w:rsid w:val="007A3B55"/>
    <w:rsid w:val="007A50D7"/>
    <w:rsid w:val="007A6855"/>
    <w:rsid w:val="007A6FC4"/>
    <w:rsid w:val="007A78A1"/>
    <w:rsid w:val="007B0B86"/>
    <w:rsid w:val="007B18DF"/>
    <w:rsid w:val="007B2837"/>
    <w:rsid w:val="007B30F7"/>
    <w:rsid w:val="007B5B95"/>
    <w:rsid w:val="007B70B0"/>
    <w:rsid w:val="007B7928"/>
    <w:rsid w:val="007C0273"/>
    <w:rsid w:val="007C0A1C"/>
    <w:rsid w:val="007C17A1"/>
    <w:rsid w:val="007C1B5D"/>
    <w:rsid w:val="007C1FFC"/>
    <w:rsid w:val="007C394B"/>
    <w:rsid w:val="007C3FA7"/>
    <w:rsid w:val="007C5D5A"/>
    <w:rsid w:val="007D1D54"/>
    <w:rsid w:val="007D2C33"/>
    <w:rsid w:val="007D7E5D"/>
    <w:rsid w:val="007E1428"/>
    <w:rsid w:val="007E309C"/>
    <w:rsid w:val="007E4C29"/>
    <w:rsid w:val="007E5DDF"/>
    <w:rsid w:val="007E6470"/>
    <w:rsid w:val="007E760A"/>
    <w:rsid w:val="007E76FB"/>
    <w:rsid w:val="007F2550"/>
    <w:rsid w:val="007F3476"/>
    <w:rsid w:val="007F66B6"/>
    <w:rsid w:val="007F762C"/>
    <w:rsid w:val="007F77DE"/>
    <w:rsid w:val="00801272"/>
    <w:rsid w:val="00802E2C"/>
    <w:rsid w:val="008035FD"/>
    <w:rsid w:val="008036C1"/>
    <w:rsid w:val="008048F6"/>
    <w:rsid w:val="0080552D"/>
    <w:rsid w:val="00807633"/>
    <w:rsid w:val="0081042A"/>
    <w:rsid w:val="008115B4"/>
    <w:rsid w:val="0081303B"/>
    <w:rsid w:val="0081331F"/>
    <w:rsid w:val="00814A97"/>
    <w:rsid w:val="008150F9"/>
    <w:rsid w:val="00817FA8"/>
    <w:rsid w:val="008243CA"/>
    <w:rsid w:val="008252FC"/>
    <w:rsid w:val="00827BA5"/>
    <w:rsid w:val="00832E3A"/>
    <w:rsid w:val="00835117"/>
    <w:rsid w:val="00851171"/>
    <w:rsid w:val="00853DB6"/>
    <w:rsid w:val="00853ED7"/>
    <w:rsid w:val="00854DE4"/>
    <w:rsid w:val="008561E8"/>
    <w:rsid w:val="00857617"/>
    <w:rsid w:val="008612C8"/>
    <w:rsid w:val="00862FCC"/>
    <w:rsid w:val="00865FC4"/>
    <w:rsid w:val="00867C5D"/>
    <w:rsid w:val="00867CF6"/>
    <w:rsid w:val="008714A1"/>
    <w:rsid w:val="00871F1F"/>
    <w:rsid w:val="0087543C"/>
    <w:rsid w:val="00877151"/>
    <w:rsid w:val="008772A8"/>
    <w:rsid w:val="0088151A"/>
    <w:rsid w:val="00882201"/>
    <w:rsid w:val="00883B79"/>
    <w:rsid w:val="00885B63"/>
    <w:rsid w:val="00886402"/>
    <w:rsid w:val="00887451"/>
    <w:rsid w:val="00890ECA"/>
    <w:rsid w:val="008914CC"/>
    <w:rsid w:val="00893745"/>
    <w:rsid w:val="00894447"/>
    <w:rsid w:val="0089561C"/>
    <w:rsid w:val="00896256"/>
    <w:rsid w:val="00896A83"/>
    <w:rsid w:val="00897290"/>
    <w:rsid w:val="00897B41"/>
    <w:rsid w:val="008A0235"/>
    <w:rsid w:val="008A16E5"/>
    <w:rsid w:val="008A1776"/>
    <w:rsid w:val="008A3869"/>
    <w:rsid w:val="008A5050"/>
    <w:rsid w:val="008B24BE"/>
    <w:rsid w:val="008B34A6"/>
    <w:rsid w:val="008B57D6"/>
    <w:rsid w:val="008B7C12"/>
    <w:rsid w:val="008C2456"/>
    <w:rsid w:val="008C2561"/>
    <w:rsid w:val="008C2675"/>
    <w:rsid w:val="008C3480"/>
    <w:rsid w:val="008C34C1"/>
    <w:rsid w:val="008C4058"/>
    <w:rsid w:val="008C49C7"/>
    <w:rsid w:val="008C5757"/>
    <w:rsid w:val="008C6350"/>
    <w:rsid w:val="008C7EA7"/>
    <w:rsid w:val="008D243B"/>
    <w:rsid w:val="008D5139"/>
    <w:rsid w:val="008D5864"/>
    <w:rsid w:val="008D6546"/>
    <w:rsid w:val="008E129C"/>
    <w:rsid w:val="008E1D59"/>
    <w:rsid w:val="008E3954"/>
    <w:rsid w:val="008E41BA"/>
    <w:rsid w:val="008E744F"/>
    <w:rsid w:val="008F12A8"/>
    <w:rsid w:val="008F1831"/>
    <w:rsid w:val="008F4D47"/>
    <w:rsid w:val="00900D83"/>
    <w:rsid w:val="009017A6"/>
    <w:rsid w:val="00903224"/>
    <w:rsid w:val="009069D9"/>
    <w:rsid w:val="00906CA9"/>
    <w:rsid w:val="009100D7"/>
    <w:rsid w:val="00910176"/>
    <w:rsid w:val="00911FC9"/>
    <w:rsid w:val="00914573"/>
    <w:rsid w:val="00914F5E"/>
    <w:rsid w:val="009179E3"/>
    <w:rsid w:val="00920613"/>
    <w:rsid w:val="00924266"/>
    <w:rsid w:val="00924BD5"/>
    <w:rsid w:val="0092537F"/>
    <w:rsid w:val="00925F8C"/>
    <w:rsid w:val="009277A8"/>
    <w:rsid w:val="00931798"/>
    <w:rsid w:val="009321EF"/>
    <w:rsid w:val="0093346D"/>
    <w:rsid w:val="00935D62"/>
    <w:rsid w:val="00941262"/>
    <w:rsid w:val="009418A5"/>
    <w:rsid w:val="00942DF2"/>
    <w:rsid w:val="009435C5"/>
    <w:rsid w:val="0094407B"/>
    <w:rsid w:val="00946AFF"/>
    <w:rsid w:val="009470A1"/>
    <w:rsid w:val="00951184"/>
    <w:rsid w:val="00951F9B"/>
    <w:rsid w:val="0095200A"/>
    <w:rsid w:val="0095542B"/>
    <w:rsid w:val="00955C73"/>
    <w:rsid w:val="00955F52"/>
    <w:rsid w:val="009573C3"/>
    <w:rsid w:val="00957A68"/>
    <w:rsid w:val="009600FF"/>
    <w:rsid w:val="00960454"/>
    <w:rsid w:val="0096356E"/>
    <w:rsid w:val="009640D2"/>
    <w:rsid w:val="00964E20"/>
    <w:rsid w:val="009652D6"/>
    <w:rsid w:val="0097188B"/>
    <w:rsid w:val="0097203D"/>
    <w:rsid w:val="009734A1"/>
    <w:rsid w:val="0097411B"/>
    <w:rsid w:val="00974413"/>
    <w:rsid w:val="00975937"/>
    <w:rsid w:val="00977711"/>
    <w:rsid w:val="00980228"/>
    <w:rsid w:val="00981050"/>
    <w:rsid w:val="0098172F"/>
    <w:rsid w:val="0098437E"/>
    <w:rsid w:val="00985517"/>
    <w:rsid w:val="0098693F"/>
    <w:rsid w:val="00986AE1"/>
    <w:rsid w:val="00986D32"/>
    <w:rsid w:val="0098726F"/>
    <w:rsid w:val="0098739F"/>
    <w:rsid w:val="009874E6"/>
    <w:rsid w:val="00987B33"/>
    <w:rsid w:val="0099179D"/>
    <w:rsid w:val="0099389C"/>
    <w:rsid w:val="00993BFE"/>
    <w:rsid w:val="009965A9"/>
    <w:rsid w:val="00997BFF"/>
    <w:rsid w:val="009A0C30"/>
    <w:rsid w:val="009A0DCC"/>
    <w:rsid w:val="009A254C"/>
    <w:rsid w:val="009A2865"/>
    <w:rsid w:val="009A29E0"/>
    <w:rsid w:val="009A66E7"/>
    <w:rsid w:val="009B0DAB"/>
    <w:rsid w:val="009B0E42"/>
    <w:rsid w:val="009B1995"/>
    <w:rsid w:val="009B1CA3"/>
    <w:rsid w:val="009B2D5C"/>
    <w:rsid w:val="009B44EA"/>
    <w:rsid w:val="009B5123"/>
    <w:rsid w:val="009B632B"/>
    <w:rsid w:val="009C04AA"/>
    <w:rsid w:val="009C0963"/>
    <w:rsid w:val="009C36AE"/>
    <w:rsid w:val="009C4258"/>
    <w:rsid w:val="009C567D"/>
    <w:rsid w:val="009C644E"/>
    <w:rsid w:val="009C6570"/>
    <w:rsid w:val="009C7D88"/>
    <w:rsid w:val="009C7EC3"/>
    <w:rsid w:val="009D09D1"/>
    <w:rsid w:val="009D2B00"/>
    <w:rsid w:val="009D5EA3"/>
    <w:rsid w:val="009E03A5"/>
    <w:rsid w:val="009E1544"/>
    <w:rsid w:val="009E160B"/>
    <w:rsid w:val="009E2178"/>
    <w:rsid w:val="009E3D61"/>
    <w:rsid w:val="009E5776"/>
    <w:rsid w:val="009F04BE"/>
    <w:rsid w:val="009F1B63"/>
    <w:rsid w:val="009F3181"/>
    <w:rsid w:val="009F3E0E"/>
    <w:rsid w:val="009F6009"/>
    <w:rsid w:val="00A01446"/>
    <w:rsid w:val="00A0187E"/>
    <w:rsid w:val="00A02D49"/>
    <w:rsid w:val="00A02EC7"/>
    <w:rsid w:val="00A04763"/>
    <w:rsid w:val="00A070E4"/>
    <w:rsid w:val="00A070F2"/>
    <w:rsid w:val="00A07551"/>
    <w:rsid w:val="00A10853"/>
    <w:rsid w:val="00A1118F"/>
    <w:rsid w:val="00A1317B"/>
    <w:rsid w:val="00A13741"/>
    <w:rsid w:val="00A138F0"/>
    <w:rsid w:val="00A13EC2"/>
    <w:rsid w:val="00A148A4"/>
    <w:rsid w:val="00A15763"/>
    <w:rsid w:val="00A15D66"/>
    <w:rsid w:val="00A16341"/>
    <w:rsid w:val="00A1744A"/>
    <w:rsid w:val="00A22452"/>
    <w:rsid w:val="00A23C11"/>
    <w:rsid w:val="00A24218"/>
    <w:rsid w:val="00A2487C"/>
    <w:rsid w:val="00A26596"/>
    <w:rsid w:val="00A265FC"/>
    <w:rsid w:val="00A26C71"/>
    <w:rsid w:val="00A274EB"/>
    <w:rsid w:val="00A3157B"/>
    <w:rsid w:val="00A3201D"/>
    <w:rsid w:val="00A32192"/>
    <w:rsid w:val="00A326EB"/>
    <w:rsid w:val="00A33102"/>
    <w:rsid w:val="00A35927"/>
    <w:rsid w:val="00A36964"/>
    <w:rsid w:val="00A40AF0"/>
    <w:rsid w:val="00A41247"/>
    <w:rsid w:val="00A45933"/>
    <w:rsid w:val="00A45B3F"/>
    <w:rsid w:val="00A505ED"/>
    <w:rsid w:val="00A51805"/>
    <w:rsid w:val="00A52033"/>
    <w:rsid w:val="00A52321"/>
    <w:rsid w:val="00A536FD"/>
    <w:rsid w:val="00A542FC"/>
    <w:rsid w:val="00A574D7"/>
    <w:rsid w:val="00A70E75"/>
    <w:rsid w:val="00A71068"/>
    <w:rsid w:val="00A7595F"/>
    <w:rsid w:val="00A775DE"/>
    <w:rsid w:val="00A77CF2"/>
    <w:rsid w:val="00A81D93"/>
    <w:rsid w:val="00A82D41"/>
    <w:rsid w:val="00A8383D"/>
    <w:rsid w:val="00A83E5C"/>
    <w:rsid w:val="00A84EF0"/>
    <w:rsid w:val="00A855C1"/>
    <w:rsid w:val="00A85739"/>
    <w:rsid w:val="00A87EA9"/>
    <w:rsid w:val="00A87FBF"/>
    <w:rsid w:val="00A87FD5"/>
    <w:rsid w:val="00A905DE"/>
    <w:rsid w:val="00A9076C"/>
    <w:rsid w:val="00A94461"/>
    <w:rsid w:val="00A950ED"/>
    <w:rsid w:val="00A95703"/>
    <w:rsid w:val="00A95A73"/>
    <w:rsid w:val="00A97C15"/>
    <w:rsid w:val="00AA0184"/>
    <w:rsid w:val="00AA0F7D"/>
    <w:rsid w:val="00AA1482"/>
    <w:rsid w:val="00AA1717"/>
    <w:rsid w:val="00AA387D"/>
    <w:rsid w:val="00AA3C95"/>
    <w:rsid w:val="00AA7C90"/>
    <w:rsid w:val="00AB0257"/>
    <w:rsid w:val="00AB0266"/>
    <w:rsid w:val="00AB4B58"/>
    <w:rsid w:val="00AB51C3"/>
    <w:rsid w:val="00AC0D74"/>
    <w:rsid w:val="00AC321C"/>
    <w:rsid w:val="00AC3C2C"/>
    <w:rsid w:val="00AC4AA1"/>
    <w:rsid w:val="00AC4BEF"/>
    <w:rsid w:val="00AC4C52"/>
    <w:rsid w:val="00AC7732"/>
    <w:rsid w:val="00AD1A5D"/>
    <w:rsid w:val="00AD26EC"/>
    <w:rsid w:val="00AD2BBD"/>
    <w:rsid w:val="00AD2E51"/>
    <w:rsid w:val="00AD2F2F"/>
    <w:rsid w:val="00AD3498"/>
    <w:rsid w:val="00AD500C"/>
    <w:rsid w:val="00AD5F82"/>
    <w:rsid w:val="00AD6D87"/>
    <w:rsid w:val="00AD7442"/>
    <w:rsid w:val="00AE0005"/>
    <w:rsid w:val="00AE0AB5"/>
    <w:rsid w:val="00AE0C6E"/>
    <w:rsid w:val="00AE124A"/>
    <w:rsid w:val="00AE1AEE"/>
    <w:rsid w:val="00AE1F7D"/>
    <w:rsid w:val="00AE226F"/>
    <w:rsid w:val="00AE2F50"/>
    <w:rsid w:val="00AE2F64"/>
    <w:rsid w:val="00AE3AF9"/>
    <w:rsid w:val="00AE5F94"/>
    <w:rsid w:val="00AE7DAF"/>
    <w:rsid w:val="00AE7E81"/>
    <w:rsid w:val="00AF0CC8"/>
    <w:rsid w:val="00AF16EC"/>
    <w:rsid w:val="00AF3582"/>
    <w:rsid w:val="00AF39A9"/>
    <w:rsid w:val="00AF5377"/>
    <w:rsid w:val="00AF64F5"/>
    <w:rsid w:val="00B00410"/>
    <w:rsid w:val="00B022DE"/>
    <w:rsid w:val="00B03653"/>
    <w:rsid w:val="00B036B0"/>
    <w:rsid w:val="00B03F36"/>
    <w:rsid w:val="00B05CAE"/>
    <w:rsid w:val="00B1145B"/>
    <w:rsid w:val="00B120A1"/>
    <w:rsid w:val="00B128DD"/>
    <w:rsid w:val="00B167FA"/>
    <w:rsid w:val="00B212B4"/>
    <w:rsid w:val="00B21964"/>
    <w:rsid w:val="00B23084"/>
    <w:rsid w:val="00B24BA7"/>
    <w:rsid w:val="00B252C5"/>
    <w:rsid w:val="00B25F8D"/>
    <w:rsid w:val="00B27D77"/>
    <w:rsid w:val="00B307A9"/>
    <w:rsid w:val="00B31630"/>
    <w:rsid w:val="00B32944"/>
    <w:rsid w:val="00B34118"/>
    <w:rsid w:val="00B34A03"/>
    <w:rsid w:val="00B35A11"/>
    <w:rsid w:val="00B35EB3"/>
    <w:rsid w:val="00B40330"/>
    <w:rsid w:val="00B42194"/>
    <w:rsid w:val="00B43C52"/>
    <w:rsid w:val="00B45306"/>
    <w:rsid w:val="00B47B18"/>
    <w:rsid w:val="00B542D6"/>
    <w:rsid w:val="00B5535E"/>
    <w:rsid w:val="00B5634B"/>
    <w:rsid w:val="00B57B25"/>
    <w:rsid w:val="00B60702"/>
    <w:rsid w:val="00B623DD"/>
    <w:rsid w:val="00B641C0"/>
    <w:rsid w:val="00B64A71"/>
    <w:rsid w:val="00B65F08"/>
    <w:rsid w:val="00B66377"/>
    <w:rsid w:val="00B66EF1"/>
    <w:rsid w:val="00B67B3E"/>
    <w:rsid w:val="00B722F0"/>
    <w:rsid w:val="00B72346"/>
    <w:rsid w:val="00B76327"/>
    <w:rsid w:val="00B76DD1"/>
    <w:rsid w:val="00B77E7B"/>
    <w:rsid w:val="00B8014F"/>
    <w:rsid w:val="00B82435"/>
    <w:rsid w:val="00B8273B"/>
    <w:rsid w:val="00B85B18"/>
    <w:rsid w:val="00B8685C"/>
    <w:rsid w:val="00B86CFC"/>
    <w:rsid w:val="00B87287"/>
    <w:rsid w:val="00B904C3"/>
    <w:rsid w:val="00B90701"/>
    <w:rsid w:val="00B92FC7"/>
    <w:rsid w:val="00B966A6"/>
    <w:rsid w:val="00B97107"/>
    <w:rsid w:val="00B975C1"/>
    <w:rsid w:val="00B97928"/>
    <w:rsid w:val="00BA2F44"/>
    <w:rsid w:val="00BA3860"/>
    <w:rsid w:val="00BA401D"/>
    <w:rsid w:val="00BA511B"/>
    <w:rsid w:val="00BA587C"/>
    <w:rsid w:val="00BA6861"/>
    <w:rsid w:val="00BA798A"/>
    <w:rsid w:val="00BA7B86"/>
    <w:rsid w:val="00BB2617"/>
    <w:rsid w:val="00BB2F7B"/>
    <w:rsid w:val="00BB39BE"/>
    <w:rsid w:val="00BB690E"/>
    <w:rsid w:val="00BB7AD4"/>
    <w:rsid w:val="00BC0815"/>
    <w:rsid w:val="00BC3C70"/>
    <w:rsid w:val="00BC4090"/>
    <w:rsid w:val="00BC485A"/>
    <w:rsid w:val="00BC4A1E"/>
    <w:rsid w:val="00BC6730"/>
    <w:rsid w:val="00BC6C34"/>
    <w:rsid w:val="00BD0DCB"/>
    <w:rsid w:val="00BD4F64"/>
    <w:rsid w:val="00BD6688"/>
    <w:rsid w:val="00BD7F77"/>
    <w:rsid w:val="00BE0A50"/>
    <w:rsid w:val="00BE37E0"/>
    <w:rsid w:val="00BE409A"/>
    <w:rsid w:val="00BE4321"/>
    <w:rsid w:val="00BE4573"/>
    <w:rsid w:val="00BE644C"/>
    <w:rsid w:val="00BE6C84"/>
    <w:rsid w:val="00BF2FFC"/>
    <w:rsid w:val="00BF3377"/>
    <w:rsid w:val="00BF54FE"/>
    <w:rsid w:val="00BF6093"/>
    <w:rsid w:val="00BF7019"/>
    <w:rsid w:val="00BF7041"/>
    <w:rsid w:val="00C01BEB"/>
    <w:rsid w:val="00C02D1A"/>
    <w:rsid w:val="00C037DF"/>
    <w:rsid w:val="00C04059"/>
    <w:rsid w:val="00C040E3"/>
    <w:rsid w:val="00C046C0"/>
    <w:rsid w:val="00C05746"/>
    <w:rsid w:val="00C068F2"/>
    <w:rsid w:val="00C06DFD"/>
    <w:rsid w:val="00C06F1F"/>
    <w:rsid w:val="00C07C76"/>
    <w:rsid w:val="00C1106E"/>
    <w:rsid w:val="00C1115F"/>
    <w:rsid w:val="00C111D0"/>
    <w:rsid w:val="00C11E46"/>
    <w:rsid w:val="00C12394"/>
    <w:rsid w:val="00C134DB"/>
    <w:rsid w:val="00C13735"/>
    <w:rsid w:val="00C14661"/>
    <w:rsid w:val="00C16939"/>
    <w:rsid w:val="00C2107B"/>
    <w:rsid w:val="00C267B8"/>
    <w:rsid w:val="00C26E8E"/>
    <w:rsid w:val="00C270CC"/>
    <w:rsid w:val="00C274DC"/>
    <w:rsid w:val="00C277F9"/>
    <w:rsid w:val="00C323E4"/>
    <w:rsid w:val="00C3333D"/>
    <w:rsid w:val="00C47D98"/>
    <w:rsid w:val="00C526C3"/>
    <w:rsid w:val="00C544F6"/>
    <w:rsid w:val="00C54F11"/>
    <w:rsid w:val="00C55797"/>
    <w:rsid w:val="00C55D2A"/>
    <w:rsid w:val="00C57DC1"/>
    <w:rsid w:val="00C60B23"/>
    <w:rsid w:val="00C61F94"/>
    <w:rsid w:val="00C62715"/>
    <w:rsid w:val="00C638D5"/>
    <w:rsid w:val="00C643D6"/>
    <w:rsid w:val="00C665A4"/>
    <w:rsid w:val="00C70A8B"/>
    <w:rsid w:val="00C71C23"/>
    <w:rsid w:val="00C71CC4"/>
    <w:rsid w:val="00C72366"/>
    <w:rsid w:val="00C7623D"/>
    <w:rsid w:val="00C83244"/>
    <w:rsid w:val="00C84E68"/>
    <w:rsid w:val="00C857B5"/>
    <w:rsid w:val="00C85855"/>
    <w:rsid w:val="00C875B5"/>
    <w:rsid w:val="00C87AFC"/>
    <w:rsid w:val="00C90204"/>
    <w:rsid w:val="00C9070E"/>
    <w:rsid w:val="00C90806"/>
    <w:rsid w:val="00C91340"/>
    <w:rsid w:val="00C925D1"/>
    <w:rsid w:val="00C92E85"/>
    <w:rsid w:val="00C9388A"/>
    <w:rsid w:val="00C94198"/>
    <w:rsid w:val="00C9443C"/>
    <w:rsid w:val="00C963BE"/>
    <w:rsid w:val="00C97BC8"/>
    <w:rsid w:val="00CA3C6C"/>
    <w:rsid w:val="00CA574E"/>
    <w:rsid w:val="00CA6F8F"/>
    <w:rsid w:val="00CA7363"/>
    <w:rsid w:val="00CB0854"/>
    <w:rsid w:val="00CB2422"/>
    <w:rsid w:val="00CB260F"/>
    <w:rsid w:val="00CB4414"/>
    <w:rsid w:val="00CB459C"/>
    <w:rsid w:val="00CB68AC"/>
    <w:rsid w:val="00CB6EBB"/>
    <w:rsid w:val="00CC1E53"/>
    <w:rsid w:val="00CC3E90"/>
    <w:rsid w:val="00CC706C"/>
    <w:rsid w:val="00CD088A"/>
    <w:rsid w:val="00CD2840"/>
    <w:rsid w:val="00CD28E6"/>
    <w:rsid w:val="00CD2B70"/>
    <w:rsid w:val="00CD4848"/>
    <w:rsid w:val="00CD570E"/>
    <w:rsid w:val="00CD6011"/>
    <w:rsid w:val="00CD6AE1"/>
    <w:rsid w:val="00CD7EA0"/>
    <w:rsid w:val="00CE0A5E"/>
    <w:rsid w:val="00CE2BFF"/>
    <w:rsid w:val="00CE36D6"/>
    <w:rsid w:val="00CE58B4"/>
    <w:rsid w:val="00CE669A"/>
    <w:rsid w:val="00CF183C"/>
    <w:rsid w:val="00CF26D3"/>
    <w:rsid w:val="00CF27A9"/>
    <w:rsid w:val="00CF6465"/>
    <w:rsid w:val="00CF64B2"/>
    <w:rsid w:val="00CF6C03"/>
    <w:rsid w:val="00D00E3E"/>
    <w:rsid w:val="00D0263D"/>
    <w:rsid w:val="00D03D6A"/>
    <w:rsid w:val="00D063AB"/>
    <w:rsid w:val="00D06864"/>
    <w:rsid w:val="00D103B6"/>
    <w:rsid w:val="00D11C86"/>
    <w:rsid w:val="00D12B3A"/>
    <w:rsid w:val="00D15024"/>
    <w:rsid w:val="00D16971"/>
    <w:rsid w:val="00D16D52"/>
    <w:rsid w:val="00D202AD"/>
    <w:rsid w:val="00D2095C"/>
    <w:rsid w:val="00D22136"/>
    <w:rsid w:val="00D30604"/>
    <w:rsid w:val="00D30E85"/>
    <w:rsid w:val="00D31856"/>
    <w:rsid w:val="00D32BAF"/>
    <w:rsid w:val="00D32D74"/>
    <w:rsid w:val="00D36ABB"/>
    <w:rsid w:val="00D37B44"/>
    <w:rsid w:val="00D40C82"/>
    <w:rsid w:val="00D41118"/>
    <w:rsid w:val="00D41189"/>
    <w:rsid w:val="00D41560"/>
    <w:rsid w:val="00D41963"/>
    <w:rsid w:val="00D44939"/>
    <w:rsid w:val="00D44F9F"/>
    <w:rsid w:val="00D474A1"/>
    <w:rsid w:val="00D508CD"/>
    <w:rsid w:val="00D50C97"/>
    <w:rsid w:val="00D5182E"/>
    <w:rsid w:val="00D51A27"/>
    <w:rsid w:val="00D51B50"/>
    <w:rsid w:val="00D52634"/>
    <w:rsid w:val="00D5338F"/>
    <w:rsid w:val="00D54BF0"/>
    <w:rsid w:val="00D55B08"/>
    <w:rsid w:val="00D55DCC"/>
    <w:rsid w:val="00D60295"/>
    <w:rsid w:val="00D6227A"/>
    <w:rsid w:val="00D62B3C"/>
    <w:rsid w:val="00D6349E"/>
    <w:rsid w:val="00D645D1"/>
    <w:rsid w:val="00D65B1B"/>
    <w:rsid w:val="00D65B37"/>
    <w:rsid w:val="00D67104"/>
    <w:rsid w:val="00D6749B"/>
    <w:rsid w:val="00D71157"/>
    <w:rsid w:val="00D727AD"/>
    <w:rsid w:val="00D7409E"/>
    <w:rsid w:val="00D75F74"/>
    <w:rsid w:val="00D77607"/>
    <w:rsid w:val="00D77BEB"/>
    <w:rsid w:val="00D80FCA"/>
    <w:rsid w:val="00D81D31"/>
    <w:rsid w:val="00D82267"/>
    <w:rsid w:val="00D8236D"/>
    <w:rsid w:val="00D82CEA"/>
    <w:rsid w:val="00D872E7"/>
    <w:rsid w:val="00D904DE"/>
    <w:rsid w:val="00D92BFE"/>
    <w:rsid w:val="00D946C3"/>
    <w:rsid w:val="00D949CB"/>
    <w:rsid w:val="00D94AF1"/>
    <w:rsid w:val="00D94B49"/>
    <w:rsid w:val="00D95379"/>
    <w:rsid w:val="00D954C3"/>
    <w:rsid w:val="00D96FDE"/>
    <w:rsid w:val="00D9756C"/>
    <w:rsid w:val="00DA001E"/>
    <w:rsid w:val="00DA39BD"/>
    <w:rsid w:val="00DA5900"/>
    <w:rsid w:val="00DA614C"/>
    <w:rsid w:val="00DA67C9"/>
    <w:rsid w:val="00DA711D"/>
    <w:rsid w:val="00DB1308"/>
    <w:rsid w:val="00DB15CA"/>
    <w:rsid w:val="00DB27BD"/>
    <w:rsid w:val="00DB2C08"/>
    <w:rsid w:val="00DB4825"/>
    <w:rsid w:val="00DB5A43"/>
    <w:rsid w:val="00DB64CF"/>
    <w:rsid w:val="00DB6B7A"/>
    <w:rsid w:val="00DC1310"/>
    <w:rsid w:val="00DC1432"/>
    <w:rsid w:val="00DC1D92"/>
    <w:rsid w:val="00DC39A2"/>
    <w:rsid w:val="00DC3B99"/>
    <w:rsid w:val="00DC3F14"/>
    <w:rsid w:val="00DC440B"/>
    <w:rsid w:val="00DC5B42"/>
    <w:rsid w:val="00DC62E3"/>
    <w:rsid w:val="00DC7FA8"/>
    <w:rsid w:val="00DD0EEE"/>
    <w:rsid w:val="00DD11F4"/>
    <w:rsid w:val="00DD382B"/>
    <w:rsid w:val="00DD3943"/>
    <w:rsid w:val="00DD3D07"/>
    <w:rsid w:val="00DD5BC5"/>
    <w:rsid w:val="00DE0F8D"/>
    <w:rsid w:val="00DE146F"/>
    <w:rsid w:val="00DE14F2"/>
    <w:rsid w:val="00DE359B"/>
    <w:rsid w:val="00DE57E0"/>
    <w:rsid w:val="00DE7B1F"/>
    <w:rsid w:val="00DF043D"/>
    <w:rsid w:val="00DF06E6"/>
    <w:rsid w:val="00DF1740"/>
    <w:rsid w:val="00DF2235"/>
    <w:rsid w:val="00DF3D76"/>
    <w:rsid w:val="00DF5CF3"/>
    <w:rsid w:val="00DF76E7"/>
    <w:rsid w:val="00E017DC"/>
    <w:rsid w:val="00E01B55"/>
    <w:rsid w:val="00E01B9E"/>
    <w:rsid w:val="00E02A2E"/>
    <w:rsid w:val="00E02D35"/>
    <w:rsid w:val="00E10264"/>
    <w:rsid w:val="00E1088B"/>
    <w:rsid w:val="00E132AD"/>
    <w:rsid w:val="00E14621"/>
    <w:rsid w:val="00E14F3A"/>
    <w:rsid w:val="00E154E1"/>
    <w:rsid w:val="00E1610D"/>
    <w:rsid w:val="00E16EAC"/>
    <w:rsid w:val="00E227DA"/>
    <w:rsid w:val="00E234DC"/>
    <w:rsid w:val="00E23CBB"/>
    <w:rsid w:val="00E25921"/>
    <w:rsid w:val="00E3076D"/>
    <w:rsid w:val="00E31950"/>
    <w:rsid w:val="00E32B01"/>
    <w:rsid w:val="00E342E9"/>
    <w:rsid w:val="00E34FDF"/>
    <w:rsid w:val="00E35053"/>
    <w:rsid w:val="00E37B90"/>
    <w:rsid w:val="00E416FF"/>
    <w:rsid w:val="00E42714"/>
    <w:rsid w:val="00E5131D"/>
    <w:rsid w:val="00E5136B"/>
    <w:rsid w:val="00E5260F"/>
    <w:rsid w:val="00E541BD"/>
    <w:rsid w:val="00E5562E"/>
    <w:rsid w:val="00E56D21"/>
    <w:rsid w:val="00E57233"/>
    <w:rsid w:val="00E603A0"/>
    <w:rsid w:val="00E60F14"/>
    <w:rsid w:val="00E630BD"/>
    <w:rsid w:val="00E64CA3"/>
    <w:rsid w:val="00E65D52"/>
    <w:rsid w:val="00E667B2"/>
    <w:rsid w:val="00E67B8A"/>
    <w:rsid w:val="00E67DBF"/>
    <w:rsid w:val="00E71845"/>
    <w:rsid w:val="00E75B98"/>
    <w:rsid w:val="00E766AC"/>
    <w:rsid w:val="00E77EB6"/>
    <w:rsid w:val="00E8050E"/>
    <w:rsid w:val="00E81C5D"/>
    <w:rsid w:val="00E83664"/>
    <w:rsid w:val="00E87CBB"/>
    <w:rsid w:val="00E92223"/>
    <w:rsid w:val="00E92500"/>
    <w:rsid w:val="00E9259F"/>
    <w:rsid w:val="00E94293"/>
    <w:rsid w:val="00EA0EF9"/>
    <w:rsid w:val="00EA2B82"/>
    <w:rsid w:val="00EA3283"/>
    <w:rsid w:val="00EB037A"/>
    <w:rsid w:val="00EB2075"/>
    <w:rsid w:val="00EB2186"/>
    <w:rsid w:val="00EB696A"/>
    <w:rsid w:val="00EB76BB"/>
    <w:rsid w:val="00EC0A36"/>
    <w:rsid w:val="00EC11DF"/>
    <w:rsid w:val="00EC3622"/>
    <w:rsid w:val="00EC41BF"/>
    <w:rsid w:val="00EC4FAB"/>
    <w:rsid w:val="00EC7A56"/>
    <w:rsid w:val="00EC7A6C"/>
    <w:rsid w:val="00ED28CB"/>
    <w:rsid w:val="00ED33BE"/>
    <w:rsid w:val="00ED4C94"/>
    <w:rsid w:val="00ED5655"/>
    <w:rsid w:val="00ED58AF"/>
    <w:rsid w:val="00ED7EDB"/>
    <w:rsid w:val="00EE041E"/>
    <w:rsid w:val="00EE07F6"/>
    <w:rsid w:val="00EE1081"/>
    <w:rsid w:val="00EE1DCB"/>
    <w:rsid w:val="00EE2193"/>
    <w:rsid w:val="00EE259D"/>
    <w:rsid w:val="00EE3716"/>
    <w:rsid w:val="00EE3CDE"/>
    <w:rsid w:val="00EE3DAC"/>
    <w:rsid w:val="00EE5106"/>
    <w:rsid w:val="00EE5BA2"/>
    <w:rsid w:val="00EE6AE5"/>
    <w:rsid w:val="00EE7F08"/>
    <w:rsid w:val="00EF0C57"/>
    <w:rsid w:val="00EF2E55"/>
    <w:rsid w:val="00EF43DB"/>
    <w:rsid w:val="00EF5F4D"/>
    <w:rsid w:val="00EF6505"/>
    <w:rsid w:val="00F015CE"/>
    <w:rsid w:val="00F02AF9"/>
    <w:rsid w:val="00F044FC"/>
    <w:rsid w:val="00F068AA"/>
    <w:rsid w:val="00F06AA6"/>
    <w:rsid w:val="00F072CD"/>
    <w:rsid w:val="00F123ED"/>
    <w:rsid w:val="00F142CB"/>
    <w:rsid w:val="00F143A9"/>
    <w:rsid w:val="00F17474"/>
    <w:rsid w:val="00F20CC9"/>
    <w:rsid w:val="00F25628"/>
    <w:rsid w:val="00F30739"/>
    <w:rsid w:val="00F3085A"/>
    <w:rsid w:val="00F32922"/>
    <w:rsid w:val="00F32C5B"/>
    <w:rsid w:val="00F340AE"/>
    <w:rsid w:val="00F348B2"/>
    <w:rsid w:val="00F3535A"/>
    <w:rsid w:val="00F36848"/>
    <w:rsid w:val="00F36C2C"/>
    <w:rsid w:val="00F3775F"/>
    <w:rsid w:val="00F37EF1"/>
    <w:rsid w:val="00F37FEE"/>
    <w:rsid w:val="00F45CD0"/>
    <w:rsid w:val="00F47F84"/>
    <w:rsid w:val="00F50114"/>
    <w:rsid w:val="00F50E2D"/>
    <w:rsid w:val="00F5187B"/>
    <w:rsid w:val="00F51C2C"/>
    <w:rsid w:val="00F53A5C"/>
    <w:rsid w:val="00F5587A"/>
    <w:rsid w:val="00F570F6"/>
    <w:rsid w:val="00F5716D"/>
    <w:rsid w:val="00F60DBF"/>
    <w:rsid w:val="00F60F1A"/>
    <w:rsid w:val="00F61B7F"/>
    <w:rsid w:val="00F6386E"/>
    <w:rsid w:val="00F65B0D"/>
    <w:rsid w:val="00F679B4"/>
    <w:rsid w:val="00F67D42"/>
    <w:rsid w:val="00F71681"/>
    <w:rsid w:val="00F723A7"/>
    <w:rsid w:val="00F72AB0"/>
    <w:rsid w:val="00F74BD2"/>
    <w:rsid w:val="00F74F9B"/>
    <w:rsid w:val="00F76C5D"/>
    <w:rsid w:val="00F76C9B"/>
    <w:rsid w:val="00F7723A"/>
    <w:rsid w:val="00F8075F"/>
    <w:rsid w:val="00F821D4"/>
    <w:rsid w:val="00F84B8F"/>
    <w:rsid w:val="00F86558"/>
    <w:rsid w:val="00F92B94"/>
    <w:rsid w:val="00F93509"/>
    <w:rsid w:val="00F948F5"/>
    <w:rsid w:val="00FA19C2"/>
    <w:rsid w:val="00FA3FB8"/>
    <w:rsid w:val="00FA5A02"/>
    <w:rsid w:val="00FA6049"/>
    <w:rsid w:val="00FA6EC0"/>
    <w:rsid w:val="00FA7E74"/>
    <w:rsid w:val="00FB0663"/>
    <w:rsid w:val="00FB0CD2"/>
    <w:rsid w:val="00FB10B5"/>
    <w:rsid w:val="00FB2DCE"/>
    <w:rsid w:val="00FB381C"/>
    <w:rsid w:val="00FB5CA5"/>
    <w:rsid w:val="00FB6DE6"/>
    <w:rsid w:val="00FC30B2"/>
    <w:rsid w:val="00FC31F4"/>
    <w:rsid w:val="00FC373D"/>
    <w:rsid w:val="00FC42D4"/>
    <w:rsid w:val="00FD026B"/>
    <w:rsid w:val="00FD3203"/>
    <w:rsid w:val="00FD36A5"/>
    <w:rsid w:val="00FD43E8"/>
    <w:rsid w:val="00FD44B1"/>
    <w:rsid w:val="00FD4984"/>
    <w:rsid w:val="00FD4F27"/>
    <w:rsid w:val="00FD717C"/>
    <w:rsid w:val="00FE17E5"/>
    <w:rsid w:val="00FE2C2A"/>
    <w:rsid w:val="00FE3D06"/>
    <w:rsid w:val="00FE4CA2"/>
    <w:rsid w:val="00FE6CEA"/>
    <w:rsid w:val="00FF1475"/>
    <w:rsid w:val="00FF168E"/>
    <w:rsid w:val="00FF1CAB"/>
    <w:rsid w:val="00FF2082"/>
    <w:rsid w:val="00FF2FB9"/>
    <w:rsid w:val="00FF40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B3B20"/>
  <w15:chartTrackingRefBased/>
  <w15:docId w15:val="{22676511-693F-4BF1-B167-3F03F63D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437B"/>
    <w:pPr>
      <w:spacing w:after="200" w:line="276" w:lineRule="auto"/>
    </w:pPr>
    <w:rPr>
      <w:sz w:val="22"/>
      <w:szCs w:val="22"/>
      <w:lang w:eastAsia="en-US"/>
    </w:rPr>
  </w:style>
  <w:style w:type="paragraph" w:styleId="Nagwek1">
    <w:name w:val="heading 1"/>
    <w:basedOn w:val="Normalny"/>
    <w:next w:val="Normalny"/>
    <w:link w:val="Nagwek1Znak"/>
    <w:uiPriority w:val="9"/>
    <w:qFormat/>
    <w:rsid w:val="0032438B"/>
    <w:pPr>
      <w:keepNext/>
      <w:spacing w:before="360" w:after="180"/>
      <w:outlineLvl w:val="0"/>
    </w:pPr>
    <w:rPr>
      <w:rFonts w:eastAsia="Times New Roman"/>
      <w:b/>
      <w:bCs/>
      <w:kern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aliases w:val="nowy"/>
    <w:basedOn w:val="Standardowy"/>
    <w:uiPriority w:val="39"/>
    <w:rsid w:val="007F34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List Paragraph2,Podsis rysunku,Akapit z listą4,Akapit z listą BS,T_SZ_List Paragraph,BulletC,normalny tekst,List bullet,Obiekt,List Paragraph1,WYPUNKTOWANIE Akapit z listą,zwykły tekst,A_wyliczenie,K-P_odwolanie"/>
    <w:basedOn w:val="Normalny"/>
    <w:link w:val="AkapitzlistZnak"/>
    <w:uiPriority w:val="34"/>
    <w:qFormat/>
    <w:rsid w:val="007F3476"/>
    <w:pPr>
      <w:ind w:left="720"/>
      <w:contextualSpacing/>
    </w:pPr>
  </w:style>
  <w:style w:type="character" w:styleId="Odwoaniedokomentarza">
    <w:name w:val="annotation reference"/>
    <w:uiPriority w:val="99"/>
    <w:unhideWhenUsed/>
    <w:rsid w:val="00CE36D6"/>
    <w:rPr>
      <w:sz w:val="16"/>
      <w:szCs w:val="16"/>
    </w:rPr>
  </w:style>
  <w:style w:type="paragraph" w:styleId="Tekstkomentarza">
    <w:name w:val="annotation text"/>
    <w:aliases w:val="Tekst komentarza Znak Znak,Znak3 Znak Znak, Znak3 Znak Znak, Znak,Znak"/>
    <w:basedOn w:val="Normalny"/>
    <w:link w:val="TekstkomentarzaZnak"/>
    <w:uiPriority w:val="99"/>
    <w:unhideWhenUsed/>
    <w:rsid w:val="00CE36D6"/>
    <w:pPr>
      <w:spacing w:line="240" w:lineRule="auto"/>
    </w:pPr>
    <w:rPr>
      <w:sz w:val="20"/>
      <w:szCs w:val="20"/>
    </w:rPr>
  </w:style>
  <w:style w:type="character" w:customStyle="1" w:styleId="TekstkomentarzaZnak">
    <w:name w:val="Tekst komentarza Znak"/>
    <w:aliases w:val="Tekst komentarza Znak Znak Znak1,Znak3 Znak Znak Znak1, Znak3 Znak Znak Znak1, Znak Znak1,Znak Znak1"/>
    <w:link w:val="Tekstkomentarza"/>
    <w:uiPriority w:val="99"/>
    <w:rsid w:val="00CE36D6"/>
    <w:rPr>
      <w:sz w:val="20"/>
      <w:szCs w:val="20"/>
    </w:rPr>
  </w:style>
  <w:style w:type="paragraph" w:styleId="Tematkomentarza">
    <w:name w:val="annotation subject"/>
    <w:basedOn w:val="Tekstkomentarza"/>
    <w:next w:val="Tekstkomentarza"/>
    <w:link w:val="TematkomentarzaZnak"/>
    <w:uiPriority w:val="99"/>
    <w:semiHidden/>
    <w:unhideWhenUsed/>
    <w:rsid w:val="00CE36D6"/>
    <w:rPr>
      <w:b/>
      <w:bCs/>
    </w:rPr>
  </w:style>
  <w:style w:type="character" w:customStyle="1" w:styleId="TematkomentarzaZnak">
    <w:name w:val="Temat komentarza Znak"/>
    <w:link w:val="Tematkomentarza"/>
    <w:uiPriority w:val="99"/>
    <w:semiHidden/>
    <w:rsid w:val="00CE36D6"/>
    <w:rPr>
      <w:b/>
      <w:bCs/>
      <w:sz w:val="20"/>
      <w:szCs w:val="20"/>
    </w:rPr>
  </w:style>
  <w:style w:type="paragraph" w:styleId="Tekstdymka">
    <w:name w:val="Balloon Text"/>
    <w:basedOn w:val="Normalny"/>
    <w:link w:val="TekstdymkaZnak"/>
    <w:uiPriority w:val="99"/>
    <w:semiHidden/>
    <w:unhideWhenUsed/>
    <w:rsid w:val="00CE36D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E36D6"/>
    <w:rPr>
      <w:rFonts w:ascii="Tahoma" w:hAnsi="Tahoma" w:cs="Tahoma"/>
      <w:sz w:val="16"/>
      <w:szCs w:val="16"/>
    </w:rPr>
  </w:style>
  <w:style w:type="paragraph" w:styleId="Tekstprzypisudolnego">
    <w:name w:val="footnote text"/>
    <w:aliases w:val="Podrozdział,Footnote,Podrozdzia3,Podrozdział Znak,-E Fuﬂnotentext,Fuﬂnotentext Ursprung,Fußnotentext Ursprung,-E Fußnotentext,Fußnote,Footnote text,Tekst przypisu Znak Znak Znak Znak,footnote text,PRZYPISKI,Tekst przypisu"/>
    <w:basedOn w:val="Normalny"/>
    <w:link w:val="TekstprzypisudolnegoZnak"/>
    <w:uiPriority w:val="99"/>
    <w:unhideWhenUsed/>
    <w:rsid w:val="00BA3860"/>
    <w:pPr>
      <w:spacing w:after="0" w:line="240" w:lineRule="auto"/>
    </w:pPr>
    <w:rPr>
      <w:sz w:val="20"/>
      <w:szCs w:val="20"/>
    </w:rPr>
  </w:style>
  <w:style w:type="character" w:customStyle="1" w:styleId="TekstprzypisudolnegoZnak">
    <w:name w:val="Tekst przypisu dolnego Znak"/>
    <w:aliases w:val="Podrozdział Znak1,Footnote Znak,Podrozdzia3 Znak,Podrozdział Znak Znak,-E Fuﬂnotentext Znak,Fuﬂnotentext Ursprung Znak,Fußnotentext Ursprung Znak,-E Fußnotentext Znak,Fußnote Znak,Footnote text Znak,footnote text Znak"/>
    <w:link w:val="Tekstprzypisudolnego"/>
    <w:uiPriority w:val="99"/>
    <w:rsid w:val="00BA3860"/>
    <w:rPr>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unhideWhenUsed/>
    <w:rsid w:val="00BA3860"/>
    <w:rPr>
      <w:vertAlign w:val="superscript"/>
    </w:rPr>
  </w:style>
  <w:style w:type="paragraph" w:styleId="Poprawka">
    <w:name w:val="Revision"/>
    <w:hidden/>
    <w:uiPriority w:val="99"/>
    <w:semiHidden/>
    <w:rsid w:val="006D1BB3"/>
    <w:rPr>
      <w:sz w:val="22"/>
      <w:szCs w:val="22"/>
      <w:lang w:eastAsia="en-US"/>
    </w:rPr>
  </w:style>
  <w:style w:type="paragraph" w:styleId="Nagwek">
    <w:name w:val="header"/>
    <w:basedOn w:val="Normalny"/>
    <w:link w:val="NagwekZnak"/>
    <w:uiPriority w:val="99"/>
    <w:unhideWhenUsed/>
    <w:rsid w:val="00480C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0CFB"/>
  </w:style>
  <w:style w:type="paragraph" w:styleId="Stopka">
    <w:name w:val="footer"/>
    <w:basedOn w:val="Normalny"/>
    <w:link w:val="StopkaZnak"/>
    <w:uiPriority w:val="99"/>
    <w:unhideWhenUsed/>
    <w:rsid w:val="00480C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0CFB"/>
  </w:style>
  <w:style w:type="character" w:styleId="Hipercze">
    <w:name w:val="Hyperlink"/>
    <w:uiPriority w:val="99"/>
    <w:unhideWhenUsed/>
    <w:rsid w:val="00887451"/>
    <w:rPr>
      <w:color w:val="0000FF"/>
      <w:u w:val="single"/>
    </w:rPr>
  </w:style>
  <w:style w:type="character" w:customStyle="1" w:styleId="TekstkomentarzaZnak1">
    <w:name w:val="Tekst komentarza Znak1"/>
    <w:aliases w:val="Tekst komentarza Znak Znak Znak,Znak3 Znak Znak Znak, Znak3 Znak Znak Znak, Znak Znak,Znak Znak"/>
    <w:uiPriority w:val="99"/>
    <w:locked/>
    <w:rsid w:val="00760805"/>
    <w:rPr>
      <w:rFonts w:ascii="Arial" w:hAnsi="Arial"/>
      <w:sz w:val="20"/>
    </w:rPr>
  </w:style>
  <w:style w:type="character" w:customStyle="1" w:styleId="AkapitzlistZnak">
    <w:name w:val="Akapit z listą Znak"/>
    <w:aliases w:val="Numerowanie Znak,List Paragraph Znak,List Paragraph2 Znak,Podsis rysunku Znak,Akapit z listą4 Znak,Akapit z listą BS Znak,T_SZ_List Paragraph Znak,BulletC Znak,normalny tekst Znak,List bullet Znak,Obiekt Znak,List Paragraph1 Znak"/>
    <w:link w:val="Akapitzlist"/>
    <w:uiPriority w:val="34"/>
    <w:qFormat/>
    <w:locked/>
    <w:rsid w:val="00484575"/>
    <w:rPr>
      <w:sz w:val="22"/>
      <w:szCs w:val="22"/>
      <w:lang w:eastAsia="en-US"/>
    </w:rPr>
  </w:style>
  <w:style w:type="character" w:customStyle="1" w:styleId="NagwekZnak1">
    <w:name w:val="Nagłówek Znak1"/>
    <w:uiPriority w:val="99"/>
    <w:semiHidden/>
    <w:locked/>
    <w:rsid w:val="005465BE"/>
    <w:rPr>
      <w:rFonts w:ascii="Arial" w:hAnsi="Arial"/>
    </w:rPr>
  </w:style>
  <w:style w:type="paragraph" w:customStyle="1" w:styleId="Default">
    <w:name w:val="Default"/>
    <w:rsid w:val="00B43C52"/>
    <w:pPr>
      <w:autoSpaceDE w:val="0"/>
      <w:autoSpaceDN w:val="0"/>
      <w:adjustRightInd w:val="0"/>
    </w:pPr>
    <w:rPr>
      <w:rFonts w:ascii="Arial" w:hAnsi="Arial" w:cs="Arial"/>
      <w:color w:val="000000"/>
      <w:sz w:val="24"/>
      <w:szCs w:val="24"/>
    </w:rPr>
  </w:style>
  <w:style w:type="paragraph" w:customStyle="1" w:styleId="pf0">
    <w:name w:val="pf0"/>
    <w:basedOn w:val="Normalny"/>
    <w:rsid w:val="0017165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rsid w:val="00171650"/>
    <w:rPr>
      <w:rFonts w:ascii="Segoe UI" w:hAnsi="Segoe UI" w:cs="Segoe UI" w:hint="default"/>
      <w:color w:val="333333"/>
      <w:sz w:val="18"/>
      <w:szCs w:val="18"/>
      <w:shd w:val="clear" w:color="auto" w:fill="FFFFFF"/>
    </w:rPr>
  </w:style>
  <w:style w:type="character" w:customStyle="1" w:styleId="cf21">
    <w:name w:val="cf21"/>
    <w:rsid w:val="00171650"/>
    <w:rPr>
      <w:rFonts w:ascii="Segoe UI" w:hAnsi="Segoe UI" w:cs="Segoe UI" w:hint="default"/>
      <w:b/>
      <w:bCs/>
      <w:color w:val="333333"/>
      <w:sz w:val="18"/>
      <w:szCs w:val="18"/>
      <w:shd w:val="clear" w:color="auto" w:fill="FFFFFF"/>
    </w:rPr>
  </w:style>
  <w:style w:type="character" w:customStyle="1" w:styleId="cf31">
    <w:name w:val="cf31"/>
    <w:rsid w:val="00171650"/>
    <w:rPr>
      <w:rFonts w:ascii="Segoe UI" w:hAnsi="Segoe UI" w:cs="Segoe UI" w:hint="default"/>
      <w:color w:val="333333"/>
      <w:sz w:val="18"/>
      <w:szCs w:val="18"/>
      <w:u w:val="single"/>
      <w:shd w:val="clear" w:color="auto" w:fill="FFFFFF"/>
    </w:rPr>
  </w:style>
  <w:style w:type="paragraph" w:customStyle="1" w:styleId="Umowaparagrafy">
    <w:name w:val="Umowa_paragrafy"/>
    <w:basedOn w:val="Normalny"/>
    <w:link w:val="UmowaparagrafyZnak"/>
    <w:qFormat/>
    <w:rsid w:val="00E83664"/>
    <w:pPr>
      <w:keepNext/>
      <w:autoSpaceDE w:val="0"/>
      <w:autoSpaceDN w:val="0"/>
      <w:adjustRightInd w:val="0"/>
      <w:spacing w:before="360" w:after="360" w:line="240" w:lineRule="auto"/>
      <w:jc w:val="center"/>
      <w:outlineLvl w:val="0"/>
    </w:pPr>
    <w:rPr>
      <w:rFonts w:ascii="Arial" w:eastAsia="Times New Roman" w:hAnsi="Arial" w:cs="Arial"/>
      <w:b/>
      <w:bCs/>
      <w:lang w:eastAsia="pl-PL"/>
    </w:rPr>
  </w:style>
  <w:style w:type="character" w:customStyle="1" w:styleId="UmowaparagrafyZnak">
    <w:name w:val="Umowa_paragrafy Znak"/>
    <w:link w:val="Umowaparagrafy"/>
    <w:rsid w:val="00E83664"/>
    <w:rPr>
      <w:rFonts w:ascii="Arial" w:eastAsia="Times New Roman" w:hAnsi="Arial" w:cs="Arial"/>
      <w:b/>
      <w:bCs/>
      <w:sz w:val="22"/>
      <w:szCs w:val="22"/>
    </w:rPr>
  </w:style>
  <w:style w:type="character" w:customStyle="1" w:styleId="Nagwek1Znak">
    <w:name w:val="Nagłówek 1 Znak"/>
    <w:link w:val="Nagwek1"/>
    <w:uiPriority w:val="9"/>
    <w:rsid w:val="0032438B"/>
    <w:rPr>
      <w:rFonts w:eastAsia="Times New Roman" w:cs="Times New Roman"/>
      <w:b/>
      <w:bCs/>
      <w:kern w:val="32"/>
      <w:sz w:val="22"/>
      <w:szCs w:val="32"/>
      <w:lang w:eastAsia="en-US"/>
    </w:rPr>
  </w:style>
  <w:style w:type="paragraph" w:customStyle="1" w:styleId="pf1">
    <w:name w:val="pf1"/>
    <w:basedOn w:val="Normalny"/>
    <w:rsid w:val="005D3676"/>
    <w:pPr>
      <w:spacing w:before="100" w:beforeAutospacing="1" w:after="100" w:afterAutospacing="1" w:line="240" w:lineRule="auto"/>
    </w:pPr>
    <w:rPr>
      <w:rFonts w:ascii="Times New Roman" w:eastAsia="Times New Roman" w:hAnsi="Times New Roman"/>
      <w:sz w:val="24"/>
      <w:szCs w:val="24"/>
      <w:lang w:eastAsia="pl-PL"/>
    </w:rPr>
  </w:style>
  <w:style w:type="table" w:customStyle="1" w:styleId="nowy1">
    <w:name w:val="nowy1"/>
    <w:basedOn w:val="Standardowy"/>
    <w:uiPriority w:val="39"/>
    <w:rsid w:val="005D367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975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9714">
      <w:bodyDiv w:val="1"/>
      <w:marLeft w:val="0"/>
      <w:marRight w:val="0"/>
      <w:marTop w:val="0"/>
      <w:marBottom w:val="0"/>
      <w:divBdr>
        <w:top w:val="none" w:sz="0" w:space="0" w:color="auto"/>
        <w:left w:val="none" w:sz="0" w:space="0" w:color="auto"/>
        <w:bottom w:val="none" w:sz="0" w:space="0" w:color="auto"/>
        <w:right w:val="none" w:sz="0" w:space="0" w:color="auto"/>
      </w:divBdr>
    </w:div>
    <w:div w:id="33894916">
      <w:bodyDiv w:val="1"/>
      <w:marLeft w:val="0"/>
      <w:marRight w:val="0"/>
      <w:marTop w:val="0"/>
      <w:marBottom w:val="0"/>
      <w:divBdr>
        <w:top w:val="none" w:sz="0" w:space="0" w:color="auto"/>
        <w:left w:val="none" w:sz="0" w:space="0" w:color="auto"/>
        <w:bottom w:val="none" w:sz="0" w:space="0" w:color="auto"/>
        <w:right w:val="none" w:sz="0" w:space="0" w:color="auto"/>
      </w:divBdr>
    </w:div>
    <w:div w:id="197861357">
      <w:bodyDiv w:val="1"/>
      <w:marLeft w:val="0"/>
      <w:marRight w:val="0"/>
      <w:marTop w:val="0"/>
      <w:marBottom w:val="0"/>
      <w:divBdr>
        <w:top w:val="none" w:sz="0" w:space="0" w:color="auto"/>
        <w:left w:val="none" w:sz="0" w:space="0" w:color="auto"/>
        <w:bottom w:val="none" w:sz="0" w:space="0" w:color="auto"/>
        <w:right w:val="none" w:sz="0" w:space="0" w:color="auto"/>
      </w:divBdr>
    </w:div>
    <w:div w:id="220406703">
      <w:bodyDiv w:val="1"/>
      <w:marLeft w:val="0"/>
      <w:marRight w:val="0"/>
      <w:marTop w:val="0"/>
      <w:marBottom w:val="0"/>
      <w:divBdr>
        <w:top w:val="none" w:sz="0" w:space="0" w:color="auto"/>
        <w:left w:val="none" w:sz="0" w:space="0" w:color="auto"/>
        <w:bottom w:val="none" w:sz="0" w:space="0" w:color="auto"/>
        <w:right w:val="none" w:sz="0" w:space="0" w:color="auto"/>
      </w:divBdr>
    </w:div>
    <w:div w:id="299191866">
      <w:bodyDiv w:val="1"/>
      <w:marLeft w:val="0"/>
      <w:marRight w:val="0"/>
      <w:marTop w:val="0"/>
      <w:marBottom w:val="0"/>
      <w:divBdr>
        <w:top w:val="none" w:sz="0" w:space="0" w:color="auto"/>
        <w:left w:val="none" w:sz="0" w:space="0" w:color="auto"/>
        <w:bottom w:val="none" w:sz="0" w:space="0" w:color="auto"/>
        <w:right w:val="none" w:sz="0" w:space="0" w:color="auto"/>
      </w:divBdr>
    </w:div>
    <w:div w:id="351417991">
      <w:bodyDiv w:val="1"/>
      <w:marLeft w:val="0"/>
      <w:marRight w:val="0"/>
      <w:marTop w:val="0"/>
      <w:marBottom w:val="0"/>
      <w:divBdr>
        <w:top w:val="none" w:sz="0" w:space="0" w:color="auto"/>
        <w:left w:val="none" w:sz="0" w:space="0" w:color="auto"/>
        <w:bottom w:val="none" w:sz="0" w:space="0" w:color="auto"/>
        <w:right w:val="none" w:sz="0" w:space="0" w:color="auto"/>
      </w:divBdr>
    </w:div>
    <w:div w:id="416286901">
      <w:bodyDiv w:val="1"/>
      <w:marLeft w:val="0"/>
      <w:marRight w:val="0"/>
      <w:marTop w:val="0"/>
      <w:marBottom w:val="0"/>
      <w:divBdr>
        <w:top w:val="none" w:sz="0" w:space="0" w:color="auto"/>
        <w:left w:val="none" w:sz="0" w:space="0" w:color="auto"/>
        <w:bottom w:val="none" w:sz="0" w:space="0" w:color="auto"/>
        <w:right w:val="none" w:sz="0" w:space="0" w:color="auto"/>
      </w:divBdr>
    </w:div>
    <w:div w:id="446704350">
      <w:bodyDiv w:val="1"/>
      <w:marLeft w:val="0"/>
      <w:marRight w:val="0"/>
      <w:marTop w:val="0"/>
      <w:marBottom w:val="0"/>
      <w:divBdr>
        <w:top w:val="none" w:sz="0" w:space="0" w:color="auto"/>
        <w:left w:val="none" w:sz="0" w:space="0" w:color="auto"/>
        <w:bottom w:val="none" w:sz="0" w:space="0" w:color="auto"/>
        <w:right w:val="none" w:sz="0" w:space="0" w:color="auto"/>
      </w:divBdr>
    </w:div>
    <w:div w:id="462388058">
      <w:bodyDiv w:val="1"/>
      <w:marLeft w:val="0"/>
      <w:marRight w:val="0"/>
      <w:marTop w:val="0"/>
      <w:marBottom w:val="0"/>
      <w:divBdr>
        <w:top w:val="none" w:sz="0" w:space="0" w:color="auto"/>
        <w:left w:val="none" w:sz="0" w:space="0" w:color="auto"/>
        <w:bottom w:val="none" w:sz="0" w:space="0" w:color="auto"/>
        <w:right w:val="none" w:sz="0" w:space="0" w:color="auto"/>
      </w:divBdr>
    </w:div>
    <w:div w:id="539830553">
      <w:bodyDiv w:val="1"/>
      <w:marLeft w:val="0"/>
      <w:marRight w:val="0"/>
      <w:marTop w:val="0"/>
      <w:marBottom w:val="0"/>
      <w:divBdr>
        <w:top w:val="none" w:sz="0" w:space="0" w:color="auto"/>
        <w:left w:val="none" w:sz="0" w:space="0" w:color="auto"/>
        <w:bottom w:val="none" w:sz="0" w:space="0" w:color="auto"/>
        <w:right w:val="none" w:sz="0" w:space="0" w:color="auto"/>
      </w:divBdr>
    </w:div>
    <w:div w:id="590166590">
      <w:bodyDiv w:val="1"/>
      <w:marLeft w:val="0"/>
      <w:marRight w:val="0"/>
      <w:marTop w:val="0"/>
      <w:marBottom w:val="0"/>
      <w:divBdr>
        <w:top w:val="none" w:sz="0" w:space="0" w:color="auto"/>
        <w:left w:val="none" w:sz="0" w:space="0" w:color="auto"/>
        <w:bottom w:val="none" w:sz="0" w:space="0" w:color="auto"/>
        <w:right w:val="none" w:sz="0" w:space="0" w:color="auto"/>
      </w:divBdr>
    </w:div>
    <w:div w:id="592670126">
      <w:bodyDiv w:val="1"/>
      <w:marLeft w:val="0"/>
      <w:marRight w:val="0"/>
      <w:marTop w:val="0"/>
      <w:marBottom w:val="0"/>
      <w:divBdr>
        <w:top w:val="none" w:sz="0" w:space="0" w:color="auto"/>
        <w:left w:val="none" w:sz="0" w:space="0" w:color="auto"/>
        <w:bottom w:val="none" w:sz="0" w:space="0" w:color="auto"/>
        <w:right w:val="none" w:sz="0" w:space="0" w:color="auto"/>
      </w:divBdr>
    </w:div>
    <w:div w:id="661860432">
      <w:bodyDiv w:val="1"/>
      <w:marLeft w:val="0"/>
      <w:marRight w:val="0"/>
      <w:marTop w:val="0"/>
      <w:marBottom w:val="0"/>
      <w:divBdr>
        <w:top w:val="none" w:sz="0" w:space="0" w:color="auto"/>
        <w:left w:val="none" w:sz="0" w:space="0" w:color="auto"/>
        <w:bottom w:val="none" w:sz="0" w:space="0" w:color="auto"/>
        <w:right w:val="none" w:sz="0" w:space="0" w:color="auto"/>
      </w:divBdr>
    </w:div>
    <w:div w:id="732460683">
      <w:bodyDiv w:val="1"/>
      <w:marLeft w:val="0"/>
      <w:marRight w:val="0"/>
      <w:marTop w:val="0"/>
      <w:marBottom w:val="0"/>
      <w:divBdr>
        <w:top w:val="none" w:sz="0" w:space="0" w:color="auto"/>
        <w:left w:val="none" w:sz="0" w:space="0" w:color="auto"/>
        <w:bottom w:val="none" w:sz="0" w:space="0" w:color="auto"/>
        <w:right w:val="none" w:sz="0" w:space="0" w:color="auto"/>
      </w:divBdr>
    </w:div>
    <w:div w:id="736130211">
      <w:bodyDiv w:val="1"/>
      <w:marLeft w:val="0"/>
      <w:marRight w:val="0"/>
      <w:marTop w:val="0"/>
      <w:marBottom w:val="0"/>
      <w:divBdr>
        <w:top w:val="none" w:sz="0" w:space="0" w:color="auto"/>
        <w:left w:val="none" w:sz="0" w:space="0" w:color="auto"/>
        <w:bottom w:val="none" w:sz="0" w:space="0" w:color="auto"/>
        <w:right w:val="none" w:sz="0" w:space="0" w:color="auto"/>
      </w:divBdr>
    </w:div>
    <w:div w:id="882012591">
      <w:bodyDiv w:val="1"/>
      <w:marLeft w:val="0"/>
      <w:marRight w:val="0"/>
      <w:marTop w:val="0"/>
      <w:marBottom w:val="0"/>
      <w:divBdr>
        <w:top w:val="none" w:sz="0" w:space="0" w:color="auto"/>
        <w:left w:val="none" w:sz="0" w:space="0" w:color="auto"/>
        <w:bottom w:val="none" w:sz="0" w:space="0" w:color="auto"/>
        <w:right w:val="none" w:sz="0" w:space="0" w:color="auto"/>
      </w:divBdr>
    </w:div>
    <w:div w:id="950209766">
      <w:bodyDiv w:val="1"/>
      <w:marLeft w:val="0"/>
      <w:marRight w:val="0"/>
      <w:marTop w:val="0"/>
      <w:marBottom w:val="0"/>
      <w:divBdr>
        <w:top w:val="none" w:sz="0" w:space="0" w:color="auto"/>
        <w:left w:val="none" w:sz="0" w:space="0" w:color="auto"/>
        <w:bottom w:val="none" w:sz="0" w:space="0" w:color="auto"/>
        <w:right w:val="none" w:sz="0" w:space="0" w:color="auto"/>
      </w:divBdr>
    </w:div>
    <w:div w:id="952052339">
      <w:bodyDiv w:val="1"/>
      <w:marLeft w:val="0"/>
      <w:marRight w:val="0"/>
      <w:marTop w:val="0"/>
      <w:marBottom w:val="0"/>
      <w:divBdr>
        <w:top w:val="none" w:sz="0" w:space="0" w:color="auto"/>
        <w:left w:val="none" w:sz="0" w:space="0" w:color="auto"/>
        <w:bottom w:val="none" w:sz="0" w:space="0" w:color="auto"/>
        <w:right w:val="none" w:sz="0" w:space="0" w:color="auto"/>
      </w:divBdr>
    </w:div>
    <w:div w:id="954599402">
      <w:bodyDiv w:val="1"/>
      <w:marLeft w:val="0"/>
      <w:marRight w:val="0"/>
      <w:marTop w:val="0"/>
      <w:marBottom w:val="0"/>
      <w:divBdr>
        <w:top w:val="none" w:sz="0" w:space="0" w:color="auto"/>
        <w:left w:val="none" w:sz="0" w:space="0" w:color="auto"/>
        <w:bottom w:val="none" w:sz="0" w:space="0" w:color="auto"/>
        <w:right w:val="none" w:sz="0" w:space="0" w:color="auto"/>
      </w:divBdr>
    </w:div>
    <w:div w:id="974406127">
      <w:bodyDiv w:val="1"/>
      <w:marLeft w:val="0"/>
      <w:marRight w:val="0"/>
      <w:marTop w:val="0"/>
      <w:marBottom w:val="0"/>
      <w:divBdr>
        <w:top w:val="none" w:sz="0" w:space="0" w:color="auto"/>
        <w:left w:val="none" w:sz="0" w:space="0" w:color="auto"/>
        <w:bottom w:val="none" w:sz="0" w:space="0" w:color="auto"/>
        <w:right w:val="none" w:sz="0" w:space="0" w:color="auto"/>
      </w:divBdr>
    </w:div>
    <w:div w:id="1050152153">
      <w:bodyDiv w:val="1"/>
      <w:marLeft w:val="0"/>
      <w:marRight w:val="0"/>
      <w:marTop w:val="0"/>
      <w:marBottom w:val="0"/>
      <w:divBdr>
        <w:top w:val="none" w:sz="0" w:space="0" w:color="auto"/>
        <w:left w:val="none" w:sz="0" w:space="0" w:color="auto"/>
        <w:bottom w:val="none" w:sz="0" w:space="0" w:color="auto"/>
        <w:right w:val="none" w:sz="0" w:space="0" w:color="auto"/>
      </w:divBdr>
    </w:div>
    <w:div w:id="1062631732">
      <w:bodyDiv w:val="1"/>
      <w:marLeft w:val="0"/>
      <w:marRight w:val="0"/>
      <w:marTop w:val="0"/>
      <w:marBottom w:val="0"/>
      <w:divBdr>
        <w:top w:val="none" w:sz="0" w:space="0" w:color="auto"/>
        <w:left w:val="none" w:sz="0" w:space="0" w:color="auto"/>
        <w:bottom w:val="none" w:sz="0" w:space="0" w:color="auto"/>
        <w:right w:val="none" w:sz="0" w:space="0" w:color="auto"/>
      </w:divBdr>
    </w:div>
    <w:div w:id="1102140998">
      <w:bodyDiv w:val="1"/>
      <w:marLeft w:val="0"/>
      <w:marRight w:val="0"/>
      <w:marTop w:val="0"/>
      <w:marBottom w:val="0"/>
      <w:divBdr>
        <w:top w:val="none" w:sz="0" w:space="0" w:color="auto"/>
        <w:left w:val="none" w:sz="0" w:space="0" w:color="auto"/>
        <w:bottom w:val="none" w:sz="0" w:space="0" w:color="auto"/>
        <w:right w:val="none" w:sz="0" w:space="0" w:color="auto"/>
      </w:divBdr>
    </w:div>
    <w:div w:id="1393314305">
      <w:bodyDiv w:val="1"/>
      <w:marLeft w:val="0"/>
      <w:marRight w:val="0"/>
      <w:marTop w:val="0"/>
      <w:marBottom w:val="0"/>
      <w:divBdr>
        <w:top w:val="none" w:sz="0" w:space="0" w:color="auto"/>
        <w:left w:val="none" w:sz="0" w:space="0" w:color="auto"/>
        <w:bottom w:val="none" w:sz="0" w:space="0" w:color="auto"/>
        <w:right w:val="none" w:sz="0" w:space="0" w:color="auto"/>
      </w:divBdr>
    </w:div>
    <w:div w:id="1540512074">
      <w:bodyDiv w:val="1"/>
      <w:marLeft w:val="0"/>
      <w:marRight w:val="0"/>
      <w:marTop w:val="0"/>
      <w:marBottom w:val="0"/>
      <w:divBdr>
        <w:top w:val="none" w:sz="0" w:space="0" w:color="auto"/>
        <w:left w:val="none" w:sz="0" w:space="0" w:color="auto"/>
        <w:bottom w:val="none" w:sz="0" w:space="0" w:color="auto"/>
        <w:right w:val="none" w:sz="0" w:space="0" w:color="auto"/>
      </w:divBdr>
    </w:div>
    <w:div w:id="1578319950">
      <w:bodyDiv w:val="1"/>
      <w:marLeft w:val="0"/>
      <w:marRight w:val="0"/>
      <w:marTop w:val="0"/>
      <w:marBottom w:val="0"/>
      <w:divBdr>
        <w:top w:val="none" w:sz="0" w:space="0" w:color="auto"/>
        <w:left w:val="none" w:sz="0" w:space="0" w:color="auto"/>
        <w:bottom w:val="none" w:sz="0" w:space="0" w:color="auto"/>
        <w:right w:val="none" w:sz="0" w:space="0" w:color="auto"/>
      </w:divBdr>
    </w:div>
    <w:div w:id="1608153661">
      <w:bodyDiv w:val="1"/>
      <w:marLeft w:val="0"/>
      <w:marRight w:val="0"/>
      <w:marTop w:val="0"/>
      <w:marBottom w:val="0"/>
      <w:divBdr>
        <w:top w:val="none" w:sz="0" w:space="0" w:color="auto"/>
        <w:left w:val="none" w:sz="0" w:space="0" w:color="auto"/>
        <w:bottom w:val="none" w:sz="0" w:space="0" w:color="auto"/>
        <w:right w:val="none" w:sz="0" w:space="0" w:color="auto"/>
      </w:divBdr>
      <w:divsChild>
        <w:div w:id="1850022787">
          <w:marLeft w:val="0"/>
          <w:marRight w:val="0"/>
          <w:marTop w:val="0"/>
          <w:marBottom w:val="0"/>
          <w:divBdr>
            <w:top w:val="none" w:sz="0" w:space="0" w:color="auto"/>
            <w:left w:val="none" w:sz="0" w:space="0" w:color="auto"/>
            <w:bottom w:val="none" w:sz="0" w:space="0" w:color="auto"/>
            <w:right w:val="none" w:sz="0" w:space="0" w:color="auto"/>
          </w:divBdr>
        </w:div>
        <w:div w:id="1851724047">
          <w:marLeft w:val="0"/>
          <w:marRight w:val="0"/>
          <w:marTop w:val="0"/>
          <w:marBottom w:val="0"/>
          <w:divBdr>
            <w:top w:val="none" w:sz="0" w:space="0" w:color="auto"/>
            <w:left w:val="none" w:sz="0" w:space="0" w:color="auto"/>
            <w:bottom w:val="none" w:sz="0" w:space="0" w:color="auto"/>
            <w:right w:val="none" w:sz="0" w:space="0" w:color="auto"/>
          </w:divBdr>
        </w:div>
        <w:div w:id="2086028412">
          <w:marLeft w:val="0"/>
          <w:marRight w:val="0"/>
          <w:marTop w:val="0"/>
          <w:marBottom w:val="0"/>
          <w:divBdr>
            <w:top w:val="none" w:sz="0" w:space="0" w:color="auto"/>
            <w:left w:val="none" w:sz="0" w:space="0" w:color="auto"/>
            <w:bottom w:val="none" w:sz="0" w:space="0" w:color="auto"/>
            <w:right w:val="none" w:sz="0" w:space="0" w:color="auto"/>
          </w:divBdr>
        </w:div>
      </w:divsChild>
    </w:div>
    <w:div w:id="1655068390">
      <w:bodyDiv w:val="1"/>
      <w:marLeft w:val="0"/>
      <w:marRight w:val="0"/>
      <w:marTop w:val="0"/>
      <w:marBottom w:val="0"/>
      <w:divBdr>
        <w:top w:val="none" w:sz="0" w:space="0" w:color="auto"/>
        <w:left w:val="none" w:sz="0" w:space="0" w:color="auto"/>
        <w:bottom w:val="none" w:sz="0" w:space="0" w:color="auto"/>
        <w:right w:val="none" w:sz="0" w:space="0" w:color="auto"/>
      </w:divBdr>
    </w:div>
    <w:div w:id="1795903940">
      <w:bodyDiv w:val="1"/>
      <w:marLeft w:val="0"/>
      <w:marRight w:val="0"/>
      <w:marTop w:val="0"/>
      <w:marBottom w:val="0"/>
      <w:divBdr>
        <w:top w:val="none" w:sz="0" w:space="0" w:color="auto"/>
        <w:left w:val="none" w:sz="0" w:space="0" w:color="auto"/>
        <w:bottom w:val="none" w:sz="0" w:space="0" w:color="auto"/>
        <w:right w:val="none" w:sz="0" w:space="0" w:color="auto"/>
      </w:divBdr>
    </w:div>
    <w:div w:id="1825273497">
      <w:bodyDiv w:val="1"/>
      <w:marLeft w:val="0"/>
      <w:marRight w:val="0"/>
      <w:marTop w:val="0"/>
      <w:marBottom w:val="0"/>
      <w:divBdr>
        <w:top w:val="none" w:sz="0" w:space="0" w:color="auto"/>
        <w:left w:val="none" w:sz="0" w:space="0" w:color="auto"/>
        <w:bottom w:val="none" w:sz="0" w:space="0" w:color="auto"/>
        <w:right w:val="none" w:sz="0" w:space="0" w:color="auto"/>
      </w:divBdr>
    </w:div>
    <w:div w:id="1835220169">
      <w:bodyDiv w:val="1"/>
      <w:marLeft w:val="0"/>
      <w:marRight w:val="0"/>
      <w:marTop w:val="0"/>
      <w:marBottom w:val="0"/>
      <w:divBdr>
        <w:top w:val="none" w:sz="0" w:space="0" w:color="auto"/>
        <w:left w:val="none" w:sz="0" w:space="0" w:color="auto"/>
        <w:bottom w:val="none" w:sz="0" w:space="0" w:color="auto"/>
        <w:right w:val="none" w:sz="0" w:space="0" w:color="auto"/>
      </w:divBdr>
    </w:div>
    <w:div w:id="1855876327">
      <w:bodyDiv w:val="1"/>
      <w:marLeft w:val="0"/>
      <w:marRight w:val="0"/>
      <w:marTop w:val="0"/>
      <w:marBottom w:val="0"/>
      <w:divBdr>
        <w:top w:val="none" w:sz="0" w:space="0" w:color="auto"/>
        <w:left w:val="none" w:sz="0" w:space="0" w:color="auto"/>
        <w:bottom w:val="none" w:sz="0" w:space="0" w:color="auto"/>
        <w:right w:val="none" w:sz="0" w:space="0" w:color="auto"/>
      </w:divBdr>
    </w:div>
    <w:div w:id="1908615226">
      <w:bodyDiv w:val="1"/>
      <w:marLeft w:val="0"/>
      <w:marRight w:val="0"/>
      <w:marTop w:val="0"/>
      <w:marBottom w:val="0"/>
      <w:divBdr>
        <w:top w:val="none" w:sz="0" w:space="0" w:color="auto"/>
        <w:left w:val="none" w:sz="0" w:space="0" w:color="auto"/>
        <w:bottom w:val="none" w:sz="0" w:space="0" w:color="auto"/>
        <w:right w:val="none" w:sz="0" w:space="0" w:color="auto"/>
      </w:divBdr>
    </w:div>
    <w:div w:id="1990816328">
      <w:bodyDiv w:val="1"/>
      <w:marLeft w:val="0"/>
      <w:marRight w:val="0"/>
      <w:marTop w:val="0"/>
      <w:marBottom w:val="0"/>
      <w:divBdr>
        <w:top w:val="none" w:sz="0" w:space="0" w:color="auto"/>
        <w:left w:val="none" w:sz="0" w:space="0" w:color="auto"/>
        <w:bottom w:val="none" w:sz="0" w:space="0" w:color="auto"/>
        <w:right w:val="none" w:sz="0" w:space="0" w:color="auto"/>
      </w:divBdr>
    </w:div>
    <w:div w:id="2009481289">
      <w:bodyDiv w:val="1"/>
      <w:marLeft w:val="0"/>
      <w:marRight w:val="0"/>
      <w:marTop w:val="0"/>
      <w:marBottom w:val="0"/>
      <w:divBdr>
        <w:top w:val="none" w:sz="0" w:space="0" w:color="auto"/>
        <w:left w:val="none" w:sz="0" w:space="0" w:color="auto"/>
        <w:bottom w:val="none" w:sz="0" w:space="0" w:color="auto"/>
        <w:right w:val="none" w:sz="0" w:space="0" w:color="auto"/>
      </w:divBdr>
    </w:div>
    <w:div w:id="2021928752">
      <w:bodyDiv w:val="1"/>
      <w:marLeft w:val="0"/>
      <w:marRight w:val="0"/>
      <w:marTop w:val="0"/>
      <w:marBottom w:val="0"/>
      <w:divBdr>
        <w:top w:val="none" w:sz="0" w:space="0" w:color="auto"/>
        <w:left w:val="none" w:sz="0" w:space="0" w:color="auto"/>
        <w:bottom w:val="none" w:sz="0" w:space="0" w:color="auto"/>
        <w:right w:val="none" w:sz="0" w:space="0" w:color="auto"/>
      </w:divBdr>
    </w:div>
    <w:div w:id="21318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uszeeuropejskie.warmia.mazury.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duszeeuropejskie.warmia.mazury.pl/artykul/469/wskaznik-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9B5F-01A9-418A-827E-C2BC3C43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3308</Words>
  <Characters>19848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Bank Gospodarstwa Krajowego</Company>
  <LinksUpToDate>false</LinksUpToDate>
  <CharactersWithSpaces>23110</CharactersWithSpaces>
  <SharedDoc>false</SharedDoc>
  <HLinks>
    <vt:vector size="12" baseType="variant">
      <vt:variant>
        <vt:i4>2752619</vt:i4>
      </vt:variant>
      <vt:variant>
        <vt:i4>3</vt:i4>
      </vt:variant>
      <vt:variant>
        <vt:i4>0</vt:i4>
      </vt:variant>
      <vt:variant>
        <vt:i4>5</vt:i4>
      </vt:variant>
      <vt:variant>
        <vt:lpwstr>https://funduszeeuropejskie.warmia.mazury.pl/artykul/469/wskaznik-g</vt:lpwstr>
      </vt:variant>
      <vt:variant>
        <vt:lpwstr/>
      </vt:variant>
      <vt:variant>
        <vt:i4>1507355</vt:i4>
      </vt:variant>
      <vt:variant>
        <vt:i4>0</vt:i4>
      </vt:variant>
      <vt:variant>
        <vt:i4>0</vt:i4>
      </vt:variant>
      <vt:variant>
        <vt:i4>5</vt:i4>
      </vt:variant>
      <vt:variant>
        <vt:lpwstr>https://funduszeeuropejskie.warmia.mazury.pl/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Baczewski, Jacek</dc:creator>
  <cp:keywords/>
  <dc:description/>
  <cp:lastModifiedBy>NIDA</cp:lastModifiedBy>
  <cp:revision>10</cp:revision>
  <cp:lastPrinted>2025-01-28T12:10:00Z</cp:lastPrinted>
  <dcterms:created xsi:type="dcterms:W3CDTF">2024-10-24T11:19:00Z</dcterms:created>
  <dcterms:modified xsi:type="dcterms:W3CDTF">2025-01-28T12:12:00Z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Krzysztof.Lesniak@bgk.pl</vt:lpwstr>
  </property>
  <property fmtid="{D5CDD505-2E9C-101B-9397-08002B2CF9AE}" pid="5" name="MSIP_Label_ffd642cb-f5ac-4f9c-8f91-3377ed972e0d_SetDate">
    <vt:lpwstr>2018-11-14T11:54:27.3499546Z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c668bcff-e2d1-47e2-adc1-b3354af02961_Enabled">
    <vt:lpwstr>true</vt:lpwstr>
  </property>
  <property fmtid="{D5CDD505-2E9C-101B-9397-08002B2CF9AE}" pid="10" name="MSIP_Label_c668bcff-e2d1-47e2-adc1-b3354af02961_SetDate">
    <vt:lpwstr>2021-11-22T15:34:51Z</vt:lpwstr>
  </property>
  <property fmtid="{D5CDD505-2E9C-101B-9397-08002B2CF9AE}" pid="11" name="MSIP_Label_c668bcff-e2d1-47e2-adc1-b3354af02961_Method">
    <vt:lpwstr>Privileged</vt:lpwstr>
  </property>
  <property fmtid="{D5CDD505-2E9C-101B-9397-08002B2CF9AE}" pid="12" name="MSIP_Label_c668bcff-e2d1-47e2-adc1-b3354af02961_Name">
    <vt:lpwstr>c668bcff-e2d1-47e2-adc1-b3354af02961</vt:lpwstr>
  </property>
  <property fmtid="{D5CDD505-2E9C-101B-9397-08002B2CF9AE}" pid="13" name="MSIP_Label_c668bcff-e2d1-47e2-adc1-b3354af02961_SiteId">
    <vt:lpwstr>29bb5b9c-200a-4906-89ef-c651c86ab301</vt:lpwstr>
  </property>
  <property fmtid="{D5CDD505-2E9C-101B-9397-08002B2CF9AE}" pid="14" name="MSIP_Label_c668bcff-e2d1-47e2-adc1-b3354af02961_ContentBits">
    <vt:lpwstr>0</vt:lpwstr>
  </property>
</Properties>
</file>