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87E3" w14:textId="2F0AC97D" w:rsidR="00F47F84" w:rsidRPr="00C36F8B" w:rsidRDefault="00C877D6" w:rsidP="00C877D6">
      <w:pPr>
        <w:pStyle w:val="Akapitzlist"/>
        <w:spacing w:after="720" w:line="23" w:lineRule="atLeast"/>
        <w:ind w:left="1416" w:firstLine="696"/>
        <w:jc w:val="center"/>
        <w:rPr>
          <w:rFonts w:asciiTheme="minorHAnsi" w:hAnsiTheme="minorHAnsi"/>
          <w:b/>
        </w:rPr>
      </w:pPr>
      <w:r w:rsidRPr="00895FF8">
        <w:rPr>
          <w:rFonts w:cs="Calibri"/>
        </w:rPr>
        <w:t xml:space="preserve">Załącznik nr 4 do Umowy Inwestycyjnej nr </w:t>
      </w:r>
      <w:r w:rsidRPr="00895FF8">
        <w:rPr>
          <w:rFonts w:cs="Calibri"/>
          <w:b/>
        </w:rPr>
        <w:fldChar w:fldCharType="begin">
          <w:ffData>
            <w:name w:val="Tekst1"/>
            <w:enabled/>
            <w:calcOnExit w:val="0"/>
            <w:textInput/>
          </w:ffData>
        </w:fldChar>
      </w:r>
      <w:r w:rsidRPr="00895FF8">
        <w:rPr>
          <w:rFonts w:cs="Calibri"/>
        </w:rPr>
        <w:instrText xml:space="preserve"> FORMTEXT </w:instrText>
      </w:r>
      <w:r w:rsidRPr="00895FF8">
        <w:rPr>
          <w:rFonts w:cs="Calibri"/>
          <w:b/>
        </w:rPr>
      </w:r>
      <w:r w:rsidRPr="00895FF8">
        <w:rPr>
          <w:rFonts w:cs="Calibri"/>
          <w:b/>
        </w:rPr>
        <w:fldChar w:fldCharType="separate"/>
      </w:r>
      <w:r>
        <w:rPr>
          <w:rFonts w:cs="Calibri"/>
          <w:b/>
        </w:rPr>
        <w:t> </w:t>
      </w:r>
      <w:r>
        <w:rPr>
          <w:rFonts w:cs="Calibri"/>
          <w:b/>
        </w:rPr>
        <w:t> </w:t>
      </w:r>
      <w:r>
        <w:rPr>
          <w:rFonts w:cs="Calibri"/>
          <w:b/>
        </w:rPr>
        <w:t> </w:t>
      </w:r>
      <w:r>
        <w:rPr>
          <w:rFonts w:cs="Calibri"/>
          <w:b/>
        </w:rPr>
        <w:t> </w:t>
      </w:r>
      <w:r>
        <w:rPr>
          <w:rFonts w:cs="Calibri"/>
          <w:b/>
        </w:rPr>
        <w:t> </w:t>
      </w:r>
      <w:r w:rsidRPr="00895FF8">
        <w:rPr>
          <w:rFonts w:cs="Calibri"/>
          <w:b/>
        </w:rPr>
        <w:fldChar w:fldCharType="end"/>
      </w:r>
      <w:r w:rsidR="00EF7C07">
        <w:rPr>
          <w:rFonts w:asciiTheme="minorHAnsi" w:hAnsiTheme="minorHAnsi"/>
          <w:i/>
        </w:rPr>
        <w:t xml:space="preserve"> </w:t>
      </w:r>
      <w:r w:rsidR="00313BEA">
        <w:rPr>
          <w:rFonts w:asciiTheme="minorHAnsi" w:hAnsiTheme="minorHAnsi"/>
          <w:i/>
        </w:rPr>
        <w:br/>
      </w:r>
    </w:p>
    <w:p w14:paraId="092C747C" w14:textId="6BD23029" w:rsidR="00B26A2D" w:rsidRPr="00C92E55" w:rsidRDefault="0054141F" w:rsidP="00B26A2D">
      <w:pPr>
        <w:pStyle w:val="Tytu"/>
        <w:jc w:val="center"/>
        <w:rPr>
          <w:rFonts w:asciiTheme="minorHAnsi" w:hAnsiTheme="minorHAnsi" w:cstheme="minorHAnsi"/>
          <w:b/>
          <w:spacing w:val="0"/>
          <w:kern w:val="0"/>
          <w:sz w:val="24"/>
          <w:szCs w:val="24"/>
        </w:rPr>
      </w:pPr>
      <w:bookmarkStart w:id="0" w:name="_Hlk165303713"/>
      <w:r>
        <w:rPr>
          <w:rFonts w:asciiTheme="minorHAnsi" w:hAnsiTheme="minorHAnsi" w:cstheme="minorHAnsi"/>
          <w:b/>
          <w:spacing w:val="0"/>
          <w:kern w:val="0"/>
          <w:sz w:val="24"/>
          <w:szCs w:val="24"/>
        </w:rPr>
        <w:t>Karta Produktu</w:t>
      </w:r>
      <w:r w:rsidR="004F067B" w:rsidRPr="00C92E55">
        <w:rPr>
          <w:rFonts w:asciiTheme="minorHAnsi" w:hAnsiTheme="minorHAnsi" w:cstheme="minorHAnsi"/>
          <w:b/>
          <w:spacing w:val="0"/>
          <w:kern w:val="0"/>
          <w:sz w:val="24"/>
          <w:szCs w:val="24"/>
        </w:rPr>
        <w:t xml:space="preserve"> </w:t>
      </w:r>
      <w:bookmarkEnd w:id="0"/>
    </w:p>
    <w:p w14:paraId="30C35E6D" w14:textId="026C7985" w:rsidR="00AD1A5D" w:rsidRPr="00302511" w:rsidRDefault="00B26A2D" w:rsidP="00302511">
      <w:pPr>
        <w:pStyle w:val="Tytu"/>
        <w:spacing w:after="360"/>
        <w:jc w:val="center"/>
        <w:rPr>
          <w:rFonts w:asciiTheme="minorHAnsi" w:hAnsiTheme="minorHAnsi" w:cstheme="minorHAnsi"/>
          <w:b/>
          <w:spacing w:val="0"/>
          <w:kern w:val="0"/>
          <w:sz w:val="24"/>
          <w:szCs w:val="24"/>
        </w:rPr>
      </w:pPr>
      <w:r w:rsidRPr="00C92E55">
        <w:rPr>
          <w:rFonts w:asciiTheme="minorHAnsi" w:hAnsiTheme="minorHAnsi" w:cstheme="minorHAnsi"/>
          <w:b/>
          <w:spacing w:val="0"/>
          <w:kern w:val="0"/>
          <w:sz w:val="24"/>
          <w:szCs w:val="24"/>
        </w:rPr>
        <w:t>Pożyczka na cyfryzację przedsiębiorstw</w:t>
      </w:r>
      <w:r w:rsidR="003C12E3">
        <w:rPr>
          <w:rFonts w:asciiTheme="minorHAnsi" w:hAnsiTheme="minorHAnsi" w:cstheme="minorHAnsi"/>
          <w:b/>
          <w:spacing w:val="0"/>
          <w:kern w:val="0"/>
          <w:sz w:val="24"/>
          <w:szCs w:val="24"/>
        </w:rPr>
        <w:t xml:space="preserve"> z umorzeniem </w:t>
      </w:r>
    </w:p>
    <w:p w14:paraId="79970E77" w14:textId="610F2776" w:rsidR="007678C3" w:rsidRPr="00857EB1" w:rsidRDefault="007678C3" w:rsidP="00D968C9">
      <w:pPr>
        <w:pStyle w:val="Nagwek1"/>
        <w:numPr>
          <w:ilvl w:val="0"/>
          <w:numId w:val="5"/>
        </w:numPr>
      </w:pPr>
      <w:r w:rsidRPr="00857EB1">
        <w:t xml:space="preserve">Podstawowe parametry </w:t>
      </w:r>
      <w:r w:rsidR="00CC1E53" w:rsidRPr="00857EB1">
        <w:t xml:space="preserve">Jednostkowych </w:t>
      </w:r>
      <w:r w:rsidR="00EE5106" w:rsidRPr="00857EB1">
        <w:t>P</w:t>
      </w:r>
      <w:r w:rsidR="00CC1E53" w:rsidRPr="00857EB1">
        <w:t>ożyczek</w:t>
      </w:r>
    </w:p>
    <w:p w14:paraId="792EAC82" w14:textId="783315F8" w:rsidR="00AD587C" w:rsidRPr="00B049DB" w:rsidRDefault="007678C3" w:rsidP="00D968C9">
      <w:pPr>
        <w:numPr>
          <w:ilvl w:val="0"/>
          <w:numId w:val="4"/>
        </w:numPr>
        <w:spacing w:before="100" w:beforeAutospacing="1" w:after="120"/>
        <w:jc w:val="both"/>
        <w:rPr>
          <w:rFonts w:asciiTheme="minorHAnsi" w:hAnsiTheme="minorHAnsi"/>
        </w:rPr>
      </w:pPr>
      <w:r w:rsidRPr="00B049DB">
        <w:rPr>
          <w:rFonts w:asciiTheme="minorHAnsi" w:hAnsiTheme="minorHAnsi"/>
        </w:rPr>
        <w:t xml:space="preserve">Wartość </w:t>
      </w:r>
      <w:r w:rsidR="00CC1E53" w:rsidRPr="00B049DB">
        <w:rPr>
          <w:rFonts w:asciiTheme="minorHAnsi" w:hAnsiTheme="minorHAnsi"/>
        </w:rPr>
        <w:t xml:space="preserve">Jednostkowej </w:t>
      </w:r>
      <w:r w:rsidR="00EE5106" w:rsidRPr="00B049DB">
        <w:rPr>
          <w:rFonts w:asciiTheme="minorHAnsi" w:hAnsiTheme="minorHAnsi"/>
        </w:rPr>
        <w:t>P</w:t>
      </w:r>
      <w:r w:rsidRPr="00B049DB">
        <w:rPr>
          <w:rFonts w:asciiTheme="minorHAnsi" w:hAnsiTheme="minorHAnsi"/>
        </w:rPr>
        <w:t xml:space="preserve">ożyczki </w:t>
      </w:r>
      <w:r w:rsidR="002F2365" w:rsidRPr="00B049DB">
        <w:rPr>
          <w:rFonts w:asciiTheme="minorHAnsi" w:hAnsiTheme="minorHAnsi"/>
        </w:rPr>
        <w:t xml:space="preserve">wynosi </w:t>
      </w:r>
      <w:r w:rsidR="006643D7" w:rsidRPr="00B049DB">
        <w:rPr>
          <w:rFonts w:asciiTheme="minorHAnsi" w:hAnsiTheme="minorHAnsi"/>
        </w:rPr>
        <w:t xml:space="preserve">do </w:t>
      </w:r>
      <w:r w:rsidR="00EA3D6D">
        <w:rPr>
          <w:rFonts w:asciiTheme="minorHAnsi" w:hAnsiTheme="minorHAnsi"/>
        </w:rPr>
        <w:t>1 5</w:t>
      </w:r>
      <w:r w:rsidR="006643D7" w:rsidRPr="00B049DB">
        <w:rPr>
          <w:rFonts w:asciiTheme="minorHAnsi" w:hAnsiTheme="minorHAnsi"/>
        </w:rPr>
        <w:t>00 000,00 zł</w:t>
      </w:r>
      <w:r w:rsidR="00B55068" w:rsidRPr="00B049DB">
        <w:rPr>
          <w:rFonts w:asciiTheme="minorHAnsi" w:hAnsiTheme="minorHAnsi"/>
        </w:rPr>
        <w:t>.</w:t>
      </w:r>
    </w:p>
    <w:p w14:paraId="03A28194" w14:textId="7C260996" w:rsidR="001527A6" w:rsidRPr="00B049DB" w:rsidRDefault="006643D7" w:rsidP="00D968C9">
      <w:pPr>
        <w:numPr>
          <w:ilvl w:val="0"/>
          <w:numId w:val="4"/>
        </w:numPr>
        <w:spacing w:before="100" w:beforeAutospacing="1" w:after="120"/>
        <w:jc w:val="both"/>
        <w:rPr>
          <w:rFonts w:asciiTheme="minorHAnsi" w:hAnsiTheme="minorHAnsi"/>
        </w:rPr>
      </w:pPr>
      <w:r w:rsidRPr="00B049DB">
        <w:rPr>
          <w:rFonts w:asciiTheme="minorHAnsi" w:hAnsiTheme="minorHAnsi"/>
        </w:rPr>
        <w:t>M</w:t>
      </w:r>
      <w:r w:rsidR="00097D21" w:rsidRPr="00B049DB">
        <w:rPr>
          <w:rFonts w:asciiTheme="minorHAnsi" w:hAnsiTheme="minorHAnsi"/>
        </w:rPr>
        <w:t xml:space="preserve">aksymalny okres spłaty </w:t>
      </w:r>
      <w:r w:rsidR="00CC1E53" w:rsidRPr="00B049DB">
        <w:rPr>
          <w:rFonts w:asciiTheme="minorHAnsi" w:hAnsiTheme="minorHAnsi"/>
        </w:rPr>
        <w:t xml:space="preserve">Jednostkowej </w:t>
      </w:r>
      <w:r w:rsidR="00EE5106" w:rsidRPr="00B049DB">
        <w:rPr>
          <w:rFonts w:asciiTheme="minorHAnsi" w:hAnsiTheme="minorHAnsi"/>
        </w:rPr>
        <w:t>Pożyczki</w:t>
      </w:r>
      <w:r w:rsidR="00097D21" w:rsidRPr="00B049DB">
        <w:rPr>
          <w:rFonts w:asciiTheme="minorHAnsi" w:hAnsiTheme="minorHAnsi"/>
        </w:rPr>
        <w:t xml:space="preserve"> </w:t>
      </w:r>
      <w:r w:rsidR="00121F2F" w:rsidRPr="00B049DB">
        <w:rPr>
          <w:rFonts w:asciiTheme="minorHAnsi" w:hAnsiTheme="minorHAnsi"/>
        </w:rPr>
        <w:t>określony w Umowie Inwestycyjnej</w:t>
      </w:r>
      <w:r w:rsidR="00E0159E" w:rsidRPr="00B049DB">
        <w:rPr>
          <w:rFonts w:asciiTheme="minorHAnsi" w:hAnsiTheme="minorHAnsi"/>
        </w:rPr>
        <w:t>,</w:t>
      </w:r>
      <w:r w:rsidR="00121F2F" w:rsidRPr="00B049DB">
        <w:rPr>
          <w:rFonts w:asciiTheme="minorHAnsi" w:hAnsiTheme="minorHAnsi"/>
        </w:rPr>
        <w:t xml:space="preserve"> </w:t>
      </w:r>
      <w:r w:rsidR="00097D21" w:rsidRPr="00B049DB">
        <w:rPr>
          <w:rFonts w:asciiTheme="minorHAnsi" w:hAnsiTheme="minorHAnsi"/>
        </w:rPr>
        <w:t xml:space="preserve">nie może być dłuższy niż </w:t>
      </w:r>
      <w:r w:rsidR="00EA3D6D">
        <w:rPr>
          <w:rFonts w:asciiTheme="minorHAnsi" w:hAnsiTheme="minorHAnsi"/>
        </w:rPr>
        <w:t>96</w:t>
      </w:r>
      <w:r w:rsidR="00141695" w:rsidRPr="00B049DB">
        <w:rPr>
          <w:rFonts w:asciiTheme="minorHAnsi" w:hAnsiTheme="minorHAnsi"/>
        </w:rPr>
        <w:t xml:space="preserve"> </w:t>
      </w:r>
      <w:r w:rsidRPr="00B049DB">
        <w:rPr>
          <w:rFonts w:asciiTheme="minorHAnsi" w:hAnsiTheme="minorHAnsi"/>
        </w:rPr>
        <w:t>miesi</w:t>
      </w:r>
      <w:r w:rsidR="0033003B">
        <w:rPr>
          <w:rFonts w:asciiTheme="minorHAnsi" w:hAnsiTheme="minorHAnsi"/>
        </w:rPr>
        <w:t>ęcy</w:t>
      </w:r>
      <w:r w:rsidR="00AE7DAF" w:rsidRPr="00B049DB">
        <w:rPr>
          <w:rFonts w:asciiTheme="minorHAnsi" w:hAnsiTheme="minorHAnsi"/>
        </w:rPr>
        <w:t xml:space="preserve"> od</w:t>
      </w:r>
      <w:r w:rsidR="00AD1A5D" w:rsidRPr="00B049DB">
        <w:rPr>
          <w:rFonts w:asciiTheme="minorHAnsi" w:hAnsiTheme="minorHAnsi"/>
        </w:rPr>
        <w:t> </w:t>
      </w:r>
      <w:r w:rsidR="00187E6C" w:rsidRPr="00B049DB">
        <w:rPr>
          <w:rFonts w:asciiTheme="minorHAnsi" w:hAnsiTheme="minorHAnsi"/>
        </w:rPr>
        <w:t xml:space="preserve">dnia </w:t>
      </w:r>
      <w:r w:rsidR="00AE7DAF" w:rsidRPr="00B049DB">
        <w:rPr>
          <w:rFonts w:asciiTheme="minorHAnsi" w:hAnsiTheme="minorHAnsi"/>
        </w:rPr>
        <w:t>jej uruchomienia</w:t>
      </w:r>
      <w:r w:rsidR="00854DE4" w:rsidRPr="00B049DB">
        <w:rPr>
          <w:rFonts w:asciiTheme="minorHAnsi" w:hAnsiTheme="minorHAnsi"/>
        </w:rPr>
        <w:t xml:space="preserve">, tj. wypłaty jakiejkolwiek kwoty Jednostkowej </w:t>
      </w:r>
      <w:r w:rsidR="00EE5106" w:rsidRPr="00B049DB">
        <w:rPr>
          <w:rFonts w:asciiTheme="minorHAnsi" w:hAnsiTheme="minorHAnsi"/>
        </w:rPr>
        <w:t>Pożyczki</w:t>
      </w:r>
      <w:r w:rsidR="00097D21" w:rsidRPr="00B049DB">
        <w:rPr>
          <w:rFonts w:asciiTheme="minorHAnsi" w:hAnsiTheme="minorHAnsi"/>
        </w:rPr>
        <w:t>.</w:t>
      </w:r>
    </w:p>
    <w:p w14:paraId="2D527A3A" w14:textId="1ED842DF" w:rsidR="000E1F06" w:rsidRPr="00B049DB" w:rsidRDefault="00141695" w:rsidP="00D968C9">
      <w:pPr>
        <w:numPr>
          <w:ilvl w:val="0"/>
          <w:numId w:val="4"/>
        </w:numPr>
        <w:spacing w:before="100" w:beforeAutospacing="1" w:after="120"/>
        <w:jc w:val="both"/>
        <w:rPr>
          <w:rFonts w:asciiTheme="minorHAnsi" w:hAnsiTheme="minorHAnsi"/>
        </w:rPr>
      </w:pPr>
      <w:r w:rsidRPr="00B049DB">
        <w:rPr>
          <w:rFonts w:asciiTheme="minorHAnsi" w:hAnsiTheme="minorHAnsi"/>
        </w:rPr>
        <w:t>P</w:t>
      </w:r>
      <w:r w:rsidR="00DE42A0">
        <w:rPr>
          <w:rFonts w:asciiTheme="minorHAnsi" w:hAnsiTheme="minorHAnsi"/>
        </w:rPr>
        <w:t>ożyczkodawca</w:t>
      </w:r>
      <w:r w:rsidR="003A296A" w:rsidRPr="00B049DB">
        <w:rPr>
          <w:rFonts w:asciiTheme="minorHAnsi" w:hAnsiTheme="minorHAnsi"/>
        </w:rPr>
        <w:t xml:space="preserve"> na wniosek </w:t>
      </w:r>
      <w:r w:rsidR="00915081">
        <w:rPr>
          <w:rFonts w:asciiTheme="minorHAnsi" w:hAnsiTheme="minorHAnsi"/>
        </w:rPr>
        <w:t>Pożyczkobiorcy</w:t>
      </w:r>
      <w:r w:rsidR="003A296A" w:rsidRPr="00B049DB">
        <w:rPr>
          <w:rFonts w:asciiTheme="minorHAnsi" w:hAnsiTheme="minorHAnsi"/>
        </w:rPr>
        <w:t xml:space="preserve"> może udzielić karencji w spłacie kapitału Jednostkowej Pożyczki co do zasady na czas realizacji Inwestycji Końcowej, nie dłużej jednak niż na</w:t>
      </w:r>
      <w:r w:rsidR="00CC1E53" w:rsidRPr="00B049DB">
        <w:rPr>
          <w:rFonts w:asciiTheme="minorHAnsi" w:hAnsiTheme="minorHAnsi"/>
        </w:rPr>
        <w:t xml:space="preserve"> </w:t>
      </w:r>
      <w:r w:rsidR="00EA3D6D">
        <w:rPr>
          <w:rFonts w:asciiTheme="minorHAnsi" w:hAnsiTheme="minorHAnsi"/>
        </w:rPr>
        <w:t>12</w:t>
      </w:r>
      <w:r w:rsidR="00C71443" w:rsidRPr="00B049DB">
        <w:rPr>
          <w:rFonts w:asciiTheme="minorHAnsi" w:hAnsiTheme="minorHAnsi"/>
        </w:rPr>
        <w:t xml:space="preserve"> </w:t>
      </w:r>
      <w:r w:rsidR="00CC1E53" w:rsidRPr="00B049DB">
        <w:rPr>
          <w:rFonts w:asciiTheme="minorHAnsi" w:hAnsiTheme="minorHAnsi"/>
        </w:rPr>
        <w:t xml:space="preserve"> miesięcy</w:t>
      </w:r>
      <w:r w:rsidR="006856FE" w:rsidRPr="00B049DB">
        <w:rPr>
          <w:rFonts w:asciiTheme="minorHAnsi" w:hAnsiTheme="minorHAnsi"/>
        </w:rPr>
        <w:t xml:space="preserve"> od dnia uruchomienia</w:t>
      </w:r>
      <w:r w:rsidR="00911D2D" w:rsidRPr="00B049DB">
        <w:rPr>
          <w:rFonts w:asciiTheme="minorHAnsi" w:hAnsiTheme="minorHAnsi"/>
        </w:rPr>
        <w:t xml:space="preserve"> Jednostkowej Pożyczki</w:t>
      </w:r>
      <w:r w:rsidR="00CC1E53" w:rsidRPr="00B049DB">
        <w:rPr>
          <w:rFonts w:asciiTheme="minorHAnsi" w:hAnsiTheme="minorHAnsi"/>
        </w:rPr>
        <w:t xml:space="preserve">, przy czym karencja nie wydłuża okresu </w:t>
      </w:r>
      <w:r w:rsidR="00205E3D" w:rsidRPr="00B049DB">
        <w:rPr>
          <w:rFonts w:asciiTheme="minorHAnsi" w:hAnsiTheme="minorHAnsi"/>
        </w:rPr>
        <w:t xml:space="preserve">jej </w:t>
      </w:r>
      <w:r w:rsidR="00CC1E53" w:rsidRPr="00B049DB">
        <w:rPr>
          <w:rFonts w:asciiTheme="minorHAnsi" w:hAnsiTheme="minorHAnsi"/>
        </w:rPr>
        <w:t>spłaty, o którym mowa w</w:t>
      </w:r>
      <w:r w:rsidR="00492C60">
        <w:rPr>
          <w:rFonts w:asciiTheme="minorHAnsi" w:hAnsiTheme="minorHAnsi"/>
        </w:rPr>
        <w:t> </w:t>
      </w:r>
      <w:r w:rsidR="00814B6D" w:rsidRPr="00B049DB">
        <w:rPr>
          <w:rFonts w:asciiTheme="minorHAnsi" w:hAnsiTheme="minorHAnsi"/>
        </w:rPr>
        <w:t>pkt</w:t>
      </w:r>
      <w:r w:rsidR="00BF7041" w:rsidRPr="00B049DB">
        <w:rPr>
          <w:rFonts w:asciiTheme="minorHAnsi" w:hAnsiTheme="minorHAnsi"/>
        </w:rPr>
        <w:t xml:space="preserve"> </w:t>
      </w:r>
      <w:r w:rsidR="00F0614D">
        <w:rPr>
          <w:rFonts w:asciiTheme="minorHAnsi" w:hAnsiTheme="minorHAnsi"/>
        </w:rPr>
        <w:t>2</w:t>
      </w:r>
      <w:r w:rsidR="004C052F" w:rsidRPr="00B049DB">
        <w:rPr>
          <w:rFonts w:asciiTheme="minorHAnsi" w:hAnsiTheme="minorHAnsi"/>
        </w:rPr>
        <w:t xml:space="preserve"> </w:t>
      </w:r>
      <w:r w:rsidR="00CC1E53" w:rsidRPr="00B049DB">
        <w:rPr>
          <w:rFonts w:asciiTheme="minorHAnsi" w:hAnsiTheme="minorHAnsi"/>
        </w:rPr>
        <w:t>powyżej.</w:t>
      </w:r>
    </w:p>
    <w:p w14:paraId="272C6AA6" w14:textId="5DDCBD86" w:rsidR="00BB72AA" w:rsidRDefault="000E1F06" w:rsidP="00D968C9">
      <w:pPr>
        <w:numPr>
          <w:ilvl w:val="0"/>
          <w:numId w:val="4"/>
        </w:numPr>
        <w:spacing w:before="100" w:beforeAutospacing="1" w:after="120"/>
        <w:jc w:val="both"/>
        <w:rPr>
          <w:rFonts w:asciiTheme="minorHAnsi" w:hAnsiTheme="minorHAnsi"/>
        </w:rPr>
      </w:pPr>
      <w:r w:rsidRPr="00B049DB">
        <w:rPr>
          <w:rFonts w:asciiTheme="minorHAnsi" w:hAnsiTheme="minorHAnsi"/>
        </w:rPr>
        <w:t xml:space="preserve">Jeden </w:t>
      </w:r>
      <w:r w:rsidR="00915081">
        <w:rPr>
          <w:rFonts w:asciiTheme="minorHAnsi" w:hAnsiTheme="minorHAnsi"/>
        </w:rPr>
        <w:t>Pożyczkobiorca</w:t>
      </w:r>
      <w:r w:rsidRPr="00B049DB">
        <w:rPr>
          <w:rFonts w:asciiTheme="minorHAnsi" w:hAnsiTheme="minorHAnsi"/>
        </w:rPr>
        <w:t xml:space="preserve"> może otrzymać </w:t>
      </w:r>
      <w:r w:rsidR="00644BF0" w:rsidRPr="00B049DB">
        <w:rPr>
          <w:rFonts w:asciiTheme="minorHAnsi" w:hAnsiTheme="minorHAnsi"/>
        </w:rPr>
        <w:t xml:space="preserve">więcej niż </w:t>
      </w:r>
      <w:r w:rsidR="00AD587C" w:rsidRPr="00B049DB">
        <w:rPr>
          <w:rFonts w:asciiTheme="minorHAnsi" w:hAnsiTheme="minorHAnsi"/>
        </w:rPr>
        <w:t>jedną</w:t>
      </w:r>
      <w:r w:rsidRPr="00B049DB">
        <w:rPr>
          <w:rFonts w:asciiTheme="minorHAnsi" w:hAnsiTheme="minorHAnsi"/>
        </w:rPr>
        <w:t xml:space="preserve"> Jednostkową Pożyczkę, przy czym łączna wartość wszystkich Jednostkowych Pożyczek udzielonych jednemu </w:t>
      </w:r>
      <w:r w:rsidR="00915081">
        <w:rPr>
          <w:rFonts w:asciiTheme="minorHAnsi" w:hAnsiTheme="minorHAnsi"/>
        </w:rPr>
        <w:t xml:space="preserve">Pożyczkobiorcy </w:t>
      </w:r>
      <w:r w:rsidRPr="00B049DB">
        <w:rPr>
          <w:rFonts w:asciiTheme="minorHAnsi" w:hAnsiTheme="minorHAnsi"/>
        </w:rPr>
        <w:t xml:space="preserve">nie może być wyższa niż </w:t>
      </w:r>
      <w:r w:rsidR="00915081">
        <w:rPr>
          <w:rFonts w:asciiTheme="minorHAnsi" w:hAnsiTheme="minorHAnsi"/>
        </w:rPr>
        <w:br/>
      </w:r>
      <w:r w:rsidRPr="00B049DB">
        <w:rPr>
          <w:rFonts w:asciiTheme="minorHAnsi" w:hAnsiTheme="minorHAnsi"/>
        </w:rPr>
        <w:t>1</w:t>
      </w:r>
      <w:r w:rsidR="00A562AE" w:rsidRPr="00B049DB">
        <w:rPr>
          <w:rFonts w:asciiTheme="minorHAnsi" w:hAnsiTheme="minorHAnsi"/>
        </w:rPr>
        <w:t> </w:t>
      </w:r>
      <w:r w:rsidR="00EA3D6D">
        <w:rPr>
          <w:rFonts w:asciiTheme="minorHAnsi" w:hAnsiTheme="minorHAnsi"/>
        </w:rPr>
        <w:t>5</w:t>
      </w:r>
      <w:r w:rsidRPr="00B049DB">
        <w:rPr>
          <w:rFonts w:asciiTheme="minorHAnsi" w:hAnsiTheme="minorHAnsi"/>
        </w:rPr>
        <w:t>00</w:t>
      </w:r>
      <w:r w:rsidR="00A562AE" w:rsidRPr="00B049DB">
        <w:rPr>
          <w:rFonts w:asciiTheme="minorHAnsi" w:hAnsiTheme="minorHAnsi"/>
        </w:rPr>
        <w:t xml:space="preserve"> </w:t>
      </w:r>
      <w:r w:rsidRPr="00B049DB">
        <w:rPr>
          <w:rFonts w:asciiTheme="minorHAnsi" w:hAnsiTheme="minorHAnsi"/>
        </w:rPr>
        <w:t>000,00 zł.</w:t>
      </w:r>
    </w:p>
    <w:p w14:paraId="30F7A679" w14:textId="59D76ABF" w:rsidR="00BB72AA" w:rsidRPr="00BB72AA" w:rsidRDefault="00BB72AA" w:rsidP="00D968C9">
      <w:pPr>
        <w:pStyle w:val="Nagwek1"/>
        <w:numPr>
          <w:ilvl w:val="0"/>
          <w:numId w:val="5"/>
        </w:numPr>
      </w:pPr>
      <w:r w:rsidRPr="0068236C">
        <w:t>Preferencje przy udzielaniu Jednostkowych Pożyczek</w:t>
      </w:r>
    </w:p>
    <w:p w14:paraId="6E891CCB" w14:textId="19F37BE7" w:rsidR="000635E8" w:rsidRPr="00774594" w:rsidRDefault="00DB459B" w:rsidP="00D968C9">
      <w:pPr>
        <w:numPr>
          <w:ilvl w:val="0"/>
          <w:numId w:val="7"/>
        </w:numPr>
        <w:spacing w:before="100" w:beforeAutospacing="1" w:after="120"/>
        <w:jc w:val="both"/>
        <w:rPr>
          <w:rFonts w:asciiTheme="minorHAnsi" w:hAnsiTheme="minorHAnsi"/>
        </w:rPr>
      </w:pPr>
      <w:r w:rsidRPr="00774594">
        <w:rPr>
          <w:rFonts w:asciiTheme="minorHAnsi" w:hAnsiTheme="minorHAnsi"/>
        </w:rPr>
        <w:t>Przy udzielaniu Jednostkowych Pożyczek przewiduje się</w:t>
      </w:r>
      <w:r w:rsidR="000926CC" w:rsidRPr="00774594">
        <w:rPr>
          <w:rFonts w:asciiTheme="minorHAnsi" w:hAnsiTheme="minorHAnsi"/>
        </w:rPr>
        <w:t xml:space="preserve"> </w:t>
      </w:r>
      <w:r w:rsidR="00EA407E" w:rsidRPr="00774594">
        <w:rPr>
          <w:rFonts w:asciiTheme="minorHAnsi" w:hAnsiTheme="minorHAnsi"/>
        </w:rPr>
        <w:t>możliwość udzielenia d</w:t>
      </w:r>
      <w:r w:rsidR="00B364D0" w:rsidRPr="00774594">
        <w:rPr>
          <w:rFonts w:asciiTheme="minorHAnsi" w:hAnsiTheme="minorHAnsi"/>
        </w:rPr>
        <w:t>otacj</w:t>
      </w:r>
      <w:r w:rsidR="00EA407E" w:rsidRPr="00774594">
        <w:rPr>
          <w:rFonts w:asciiTheme="minorHAnsi" w:hAnsiTheme="minorHAnsi"/>
        </w:rPr>
        <w:t>i</w:t>
      </w:r>
      <w:r w:rsidR="00B364D0" w:rsidRPr="00774594">
        <w:rPr>
          <w:rFonts w:asciiTheme="minorHAnsi" w:hAnsiTheme="minorHAnsi"/>
        </w:rPr>
        <w:t xml:space="preserve"> w formie u</w:t>
      </w:r>
      <w:r w:rsidR="00DB3280" w:rsidRPr="00774594">
        <w:rPr>
          <w:rFonts w:asciiTheme="minorHAnsi" w:hAnsiTheme="minorHAnsi"/>
        </w:rPr>
        <w:t>morzeni</w:t>
      </w:r>
      <w:r w:rsidR="00B364D0" w:rsidRPr="00774594">
        <w:rPr>
          <w:rFonts w:asciiTheme="minorHAnsi" w:hAnsiTheme="minorHAnsi"/>
        </w:rPr>
        <w:t>a</w:t>
      </w:r>
      <w:r w:rsidR="00EA407E" w:rsidRPr="00774594">
        <w:rPr>
          <w:rFonts w:asciiTheme="minorHAnsi" w:hAnsiTheme="minorHAnsi"/>
        </w:rPr>
        <w:t xml:space="preserve">, w </w:t>
      </w:r>
      <w:r w:rsidR="006A73F6" w:rsidRPr="00774594">
        <w:rPr>
          <w:rFonts w:asciiTheme="minorHAnsi" w:hAnsiTheme="minorHAnsi"/>
        </w:rPr>
        <w:t>przypadk</w:t>
      </w:r>
      <w:r w:rsidR="00CD3E07" w:rsidRPr="00774594">
        <w:rPr>
          <w:rFonts w:asciiTheme="minorHAnsi" w:hAnsiTheme="minorHAnsi"/>
        </w:rPr>
        <w:t xml:space="preserve">u spełnienia jednego z warunków </w:t>
      </w:r>
      <w:r w:rsidR="00061BA9" w:rsidRPr="00774594">
        <w:rPr>
          <w:rFonts w:asciiTheme="minorHAnsi" w:hAnsiTheme="minorHAnsi"/>
        </w:rPr>
        <w:t>wymienionych poniżej</w:t>
      </w:r>
      <w:r w:rsidR="00B049DB" w:rsidRPr="00774594">
        <w:t>:</w:t>
      </w:r>
    </w:p>
    <w:p w14:paraId="2F1F86FF" w14:textId="344D7A2C" w:rsidR="00EA3D6D" w:rsidRDefault="00EA3D6D" w:rsidP="00EA3D6D">
      <w:pPr>
        <w:numPr>
          <w:ilvl w:val="0"/>
          <w:numId w:val="6"/>
        </w:numPr>
        <w:spacing w:before="100" w:beforeAutospacing="1" w:after="120"/>
        <w:jc w:val="both"/>
        <w:rPr>
          <w:rFonts w:asciiTheme="minorHAnsi" w:hAnsiTheme="minorHAnsi"/>
        </w:rPr>
      </w:pPr>
      <w:r w:rsidRPr="00BB72AA">
        <w:rPr>
          <w:rFonts w:asciiTheme="minorHAnsi" w:hAnsiTheme="minorHAnsi"/>
        </w:rPr>
        <w:t xml:space="preserve">w wysokości </w:t>
      </w:r>
      <w:r>
        <w:rPr>
          <w:rFonts w:asciiTheme="minorHAnsi" w:hAnsiTheme="minorHAnsi"/>
        </w:rPr>
        <w:t>21</w:t>
      </w:r>
      <w:r w:rsidRPr="00BB72AA">
        <w:rPr>
          <w:rFonts w:asciiTheme="minorHAnsi" w:hAnsiTheme="minorHAnsi"/>
        </w:rPr>
        <w:t xml:space="preserve">% wartości Jednostkowej Pożyczki (nie więcej niż </w:t>
      </w:r>
      <w:r w:rsidRPr="00C8336D">
        <w:rPr>
          <w:rFonts w:asciiTheme="minorHAnsi" w:hAnsiTheme="minorHAnsi"/>
        </w:rPr>
        <w:t>25%</w:t>
      </w:r>
      <w:r w:rsidRPr="00BB72AA">
        <w:rPr>
          <w:rFonts w:asciiTheme="minorHAnsi" w:hAnsiTheme="minorHAnsi"/>
        </w:rPr>
        <w:t xml:space="preserve"> EFRR) licząc bez uwzględnienia ewentualnego dodatkowego wkładu</w:t>
      </w:r>
      <w:r w:rsidRPr="00C8336D">
        <w:rPr>
          <w:rFonts w:asciiTheme="minorHAnsi" w:hAnsiTheme="minorHAnsi"/>
        </w:rPr>
        <w:t xml:space="preserve"> własnego Partnera Finansującego</w:t>
      </w:r>
      <w:r w:rsidR="00492C60">
        <w:rPr>
          <w:rFonts w:asciiTheme="minorHAnsi" w:hAnsiTheme="minorHAnsi"/>
        </w:rPr>
        <w:t xml:space="preserve"> dla</w:t>
      </w:r>
      <w:r w:rsidRPr="00C8336D">
        <w:rPr>
          <w:rFonts w:asciiTheme="minorHAnsi" w:hAnsiTheme="minorHAnsi"/>
        </w:rPr>
        <w:t>:</w:t>
      </w:r>
    </w:p>
    <w:p w14:paraId="528307E8" w14:textId="77777777" w:rsidR="00EA3D6D" w:rsidRPr="005A69FB" w:rsidRDefault="00EA3D6D" w:rsidP="00EA3D6D">
      <w:pPr>
        <w:numPr>
          <w:ilvl w:val="1"/>
          <w:numId w:val="6"/>
        </w:numPr>
        <w:spacing w:before="100" w:beforeAutospacing="1" w:after="120"/>
        <w:jc w:val="both"/>
        <w:rPr>
          <w:rFonts w:asciiTheme="minorHAnsi" w:hAnsiTheme="minorHAnsi"/>
        </w:rPr>
      </w:pPr>
      <w:r w:rsidRPr="005A69FB">
        <w:rPr>
          <w:rFonts w:asciiTheme="minorHAnsi" w:hAnsiTheme="minorHAnsi"/>
        </w:rPr>
        <w:t>wdrożenia innowacyjnych procesów (wdrożenie nowego rozwiązania cyfrowego, obejmującego trzy procesy spośród następujących: zarządzanie produkcją, zarządzanie usługami, sprzedaż, magazynowanie/zarządzanie łańcuchem dostaw, zarządzanie relacjami z klientami,</w:t>
      </w:r>
    </w:p>
    <w:p w14:paraId="7902BE64" w14:textId="77777777" w:rsidR="00EA3D6D" w:rsidRPr="005A69FB" w:rsidRDefault="00EA3D6D" w:rsidP="00EA3D6D">
      <w:pPr>
        <w:numPr>
          <w:ilvl w:val="1"/>
          <w:numId w:val="6"/>
        </w:numPr>
        <w:spacing w:before="100" w:beforeAutospacing="1" w:after="120"/>
        <w:jc w:val="both"/>
        <w:rPr>
          <w:rFonts w:asciiTheme="minorHAnsi" w:hAnsiTheme="minorHAnsi"/>
        </w:rPr>
      </w:pPr>
      <w:r w:rsidRPr="005A69FB">
        <w:rPr>
          <w:rFonts w:asciiTheme="minorHAnsi" w:hAnsiTheme="minorHAnsi"/>
        </w:rPr>
        <w:t>stworzenia i utrzymania (min. przez 1 rok) miejsca pracy, związanego z obsługą procesów cyfrowych w przedsiębiorstwie,</w:t>
      </w:r>
    </w:p>
    <w:p w14:paraId="794EED3F" w14:textId="77777777" w:rsidR="00EA3D6D" w:rsidRDefault="00EA3D6D" w:rsidP="00EA3D6D">
      <w:pPr>
        <w:numPr>
          <w:ilvl w:val="1"/>
          <w:numId w:val="6"/>
        </w:numPr>
        <w:spacing w:before="100" w:beforeAutospacing="1" w:after="120"/>
        <w:jc w:val="both"/>
        <w:rPr>
          <w:rFonts w:asciiTheme="minorHAnsi" w:hAnsiTheme="minorHAnsi"/>
        </w:rPr>
      </w:pPr>
      <w:r w:rsidRPr="005A69FB">
        <w:rPr>
          <w:rFonts w:asciiTheme="minorHAnsi" w:hAnsiTheme="minorHAnsi"/>
        </w:rPr>
        <w:t>rozwiązań cyfrowych, które przyczyniły się do ochrony środowiska (ograniczenie zużycia surowców lub energii lub redukcji emisji gazów cieplarnianych – konieczność wykazania jasnej mierzalności efektu z uwzględnieniem kryteriów redukcji emisji gazów cieplarnianych lub kryteriów efektywności energetycznej),</w:t>
      </w:r>
    </w:p>
    <w:p w14:paraId="2E2C1F9F" w14:textId="07CDC987" w:rsidR="00EA3D6D" w:rsidRPr="00600B61" w:rsidRDefault="00EA3D6D" w:rsidP="00EA3D6D">
      <w:pPr>
        <w:numPr>
          <w:ilvl w:val="0"/>
          <w:numId w:val="6"/>
        </w:numPr>
        <w:spacing w:before="100" w:beforeAutospacing="1" w:after="120"/>
        <w:ind w:left="786"/>
        <w:jc w:val="both"/>
        <w:rPr>
          <w:rFonts w:asciiTheme="minorHAnsi" w:hAnsiTheme="minorHAnsi"/>
        </w:rPr>
      </w:pPr>
      <w:r w:rsidRPr="000E2F79">
        <w:rPr>
          <w:rFonts w:asciiTheme="minorHAnsi" w:hAnsiTheme="minorHAnsi"/>
        </w:rPr>
        <w:t xml:space="preserve">w wysokości </w:t>
      </w:r>
      <w:r>
        <w:rPr>
          <w:rFonts w:asciiTheme="minorHAnsi" w:hAnsiTheme="minorHAnsi"/>
        </w:rPr>
        <w:t>12</w:t>
      </w:r>
      <w:r w:rsidRPr="000E2F79">
        <w:rPr>
          <w:rFonts w:asciiTheme="minorHAnsi" w:hAnsiTheme="minorHAnsi"/>
        </w:rPr>
        <w:t>% wartości Jednostkowej Pożyczki (nie więcej niż 15% EFRR) licząc bez uwzględnienia ewentualnego dodatkowego wkładu własnego Partnera Finansującego, dla:</w:t>
      </w:r>
    </w:p>
    <w:p w14:paraId="6DC5E390" w14:textId="77777777" w:rsidR="00EA3D6D" w:rsidRDefault="00EA3D6D" w:rsidP="00EA3D6D">
      <w:pPr>
        <w:numPr>
          <w:ilvl w:val="1"/>
          <w:numId w:val="6"/>
        </w:numPr>
        <w:spacing w:after="120"/>
        <w:jc w:val="both"/>
        <w:rPr>
          <w:rFonts w:asciiTheme="minorHAnsi" w:hAnsiTheme="minorHAnsi"/>
        </w:rPr>
      </w:pPr>
      <w:r w:rsidRPr="005465D5">
        <w:rPr>
          <w:rFonts w:asciiTheme="minorHAnsi" w:hAnsiTheme="minorHAnsi"/>
        </w:rPr>
        <w:lastRenderedPageBreak/>
        <w:t xml:space="preserve">inwestycji realizowanych na terenach gmin, dla których </w:t>
      </w:r>
      <w:r w:rsidRPr="00C8336D">
        <w:rPr>
          <w:rFonts w:asciiTheme="minorHAnsi" w:hAnsiTheme="minorHAnsi"/>
        </w:rPr>
        <w:t>indywidualny wskaźnik zamożności jednostki samorządu terytorialnego</w:t>
      </w:r>
      <w:r>
        <w:rPr>
          <w:rStyle w:val="Odwoanieprzypisudolnego"/>
          <w:rFonts w:asciiTheme="minorHAnsi" w:hAnsiTheme="minorHAnsi"/>
        </w:rPr>
        <w:footnoteReference w:id="2"/>
      </w:r>
      <w:r w:rsidRPr="00C8336D">
        <w:rPr>
          <w:rFonts w:asciiTheme="minorHAnsi" w:hAnsiTheme="minorHAnsi"/>
        </w:rPr>
        <w:t xml:space="preserve"> </w:t>
      </w:r>
      <w:r w:rsidRPr="005465D5">
        <w:rPr>
          <w:rFonts w:asciiTheme="minorHAnsi" w:hAnsiTheme="minorHAnsi"/>
        </w:rPr>
        <w:t>jest poniżej średniej regionalnej lub OSI Obszary Marginalizacji</w:t>
      </w:r>
      <w:r>
        <w:rPr>
          <w:rStyle w:val="Odwoanieprzypisudolnego"/>
          <w:rFonts w:asciiTheme="minorHAnsi" w:hAnsiTheme="minorHAnsi"/>
        </w:rPr>
        <w:footnoteReference w:id="3"/>
      </w:r>
      <w:r w:rsidRPr="005465D5">
        <w:rPr>
          <w:rFonts w:asciiTheme="minorHAnsi" w:hAnsiTheme="minorHAnsi"/>
        </w:rPr>
        <w:t xml:space="preserve"> lub OSI Miasta tracące funkcje społeczno-gospodarcze</w:t>
      </w:r>
      <w:r>
        <w:rPr>
          <w:rStyle w:val="Odwoanieprzypisudolnego"/>
          <w:rFonts w:asciiTheme="minorHAnsi" w:hAnsiTheme="minorHAnsi"/>
        </w:rPr>
        <w:footnoteReference w:id="4"/>
      </w:r>
      <w:r w:rsidRPr="005465D5">
        <w:rPr>
          <w:rFonts w:asciiTheme="minorHAnsi" w:hAnsiTheme="minorHAnsi"/>
        </w:rPr>
        <w:t xml:space="preserve"> lub Integratora Mazurskiego</w:t>
      </w:r>
      <w:r>
        <w:rPr>
          <w:rStyle w:val="Odwoanieprzypisudolnego"/>
          <w:rFonts w:asciiTheme="minorHAnsi" w:hAnsiTheme="minorHAnsi"/>
        </w:rPr>
        <w:footnoteReference w:id="5"/>
      </w:r>
      <w:r w:rsidRPr="005465D5">
        <w:rPr>
          <w:rFonts w:asciiTheme="minorHAnsi" w:hAnsiTheme="minorHAnsi"/>
        </w:rPr>
        <w:t xml:space="preserve"> lub na terenie przygranicznych powiatów województwa</w:t>
      </w:r>
      <w:r>
        <w:rPr>
          <w:rStyle w:val="Odwoanieprzypisudolnego"/>
          <w:rFonts w:asciiTheme="minorHAnsi" w:hAnsiTheme="minorHAnsi"/>
        </w:rPr>
        <w:footnoteReference w:id="6"/>
      </w:r>
      <w:r w:rsidRPr="005465D5">
        <w:rPr>
          <w:rFonts w:asciiTheme="minorHAnsi" w:hAnsiTheme="minorHAnsi"/>
        </w:rPr>
        <w:t>,</w:t>
      </w:r>
    </w:p>
    <w:p w14:paraId="5BB7EC1E" w14:textId="77777777" w:rsidR="00EA3D6D" w:rsidRDefault="00EA3D6D" w:rsidP="00EA3D6D">
      <w:pPr>
        <w:numPr>
          <w:ilvl w:val="1"/>
          <w:numId w:val="6"/>
        </w:numPr>
        <w:spacing w:after="120"/>
        <w:jc w:val="both"/>
        <w:rPr>
          <w:rFonts w:asciiTheme="minorHAnsi" w:hAnsiTheme="minorHAnsi"/>
        </w:rPr>
      </w:pPr>
      <w:r w:rsidRPr="00211EE7">
        <w:rPr>
          <w:rFonts w:asciiTheme="minorHAnsi" w:hAnsiTheme="minorHAnsi"/>
        </w:rPr>
        <w:t>inwestycji wykazujących wpływ na rozwój inteligentnych specjalizacji regionalnych</w:t>
      </w:r>
      <w:r>
        <w:rPr>
          <w:rStyle w:val="Odwoanieprzypisudolnego"/>
          <w:rFonts w:asciiTheme="minorHAnsi" w:hAnsiTheme="minorHAnsi"/>
        </w:rPr>
        <w:footnoteReference w:id="7"/>
      </w:r>
      <w:r w:rsidRPr="00211EE7">
        <w:rPr>
          <w:rFonts w:asciiTheme="minorHAnsi" w:hAnsiTheme="minorHAnsi"/>
        </w:rPr>
        <w:t>,</w:t>
      </w:r>
    </w:p>
    <w:p w14:paraId="39EA2ED0" w14:textId="77777777" w:rsidR="00EA3D6D" w:rsidRPr="00211EE7" w:rsidRDefault="00EA3D6D" w:rsidP="00EA3D6D">
      <w:pPr>
        <w:numPr>
          <w:ilvl w:val="1"/>
          <w:numId w:val="6"/>
        </w:numPr>
        <w:spacing w:after="120"/>
        <w:jc w:val="both"/>
        <w:rPr>
          <w:rFonts w:asciiTheme="minorHAnsi" w:hAnsiTheme="minorHAnsi"/>
        </w:rPr>
      </w:pPr>
      <w:r w:rsidRPr="00211EE7">
        <w:rPr>
          <w:rFonts w:asciiTheme="minorHAnsi" w:hAnsiTheme="minorHAnsi"/>
        </w:rPr>
        <w:t>Ostatecznych Odbiorców będących mikro i małymi firmami w początkowej fazie rozwoju</w:t>
      </w:r>
      <w:r>
        <w:rPr>
          <w:rStyle w:val="Odwoanieprzypisudolnego"/>
          <w:rFonts w:asciiTheme="minorHAnsi" w:hAnsiTheme="minorHAnsi"/>
        </w:rPr>
        <w:footnoteReference w:id="8"/>
      </w:r>
      <w:r w:rsidRPr="00211EE7">
        <w:rPr>
          <w:rFonts w:asciiTheme="minorHAnsi" w:hAnsiTheme="minorHAnsi"/>
        </w:rPr>
        <w:t>,</w:t>
      </w:r>
    </w:p>
    <w:p w14:paraId="4165013E" w14:textId="7E2F2837" w:rsidR="00EA3D6D" w:rsidRPr="00EA3D6D" w:rsidRDefault="00EA3D6D" w:rsidP="00EA3D6D">
      <w:pPr>
        <w:numPr>
          <w:ilvl w:val="1"/>
          <w:numId w:val="6"/>
        </w:numPr>
        <w:spacing w:before="100" w:beforeAutospacing="1" w:after="120"/>
        <w:jc w:val="both"/>
        <w:rPr>
          <w:rFonts w:asciiTheme="minorHAnsi" w:hAnsiTheme="minorHAnsi"/>
        </w:rPr>
      </w:pPr>
      <w:r w:rsidRPr="005465D5">
        <w:rPr>
          <w:rFonts w:asciiTheme="minorHAnsi" w:hAnsiTheme="minorHAnsi"/>
        </w:rPr>
        <w:t>powstania nowego (na poziomie firmy) produktu/ usługi</w:t>
      </w:r>
      <w:r>
        <w:rPr>
          <w:rFonts w:asciiTheme="minorHAnsi" w:hAnsiTheme="minorHAnsi"/>
        </w:rPr>
        <w:t>.</w:t>
      </w:r>
    </w:p>
    <w:p w14:paraId="02792B1D" w14:textId="39BDF1BE" w:rsidR="000635E8" w:rsidRDefault="00C36F8B" w:rsidP="00D968C9">
      <w:pPr>
        <w:numPr>
          <w:ilvl w:val="0"/>
          <w:numId w:val="7"/>
        </w:numPr>
        <w:spacing w:before="100" w:beforeAutospacing="1" w:after="120"/>
        <w:jc w:val="both"/>
        <w:rPr>
          <w:rFonts w:asciiTheme="minorHAnsi" w:hAnsiTheme="minorHAnsi"/>
        </w:rPr>
      </w:pPr>
      <w:r w:rsidRPr="0068236C">
        <w:t xml:space="preserve">W </w:t>
      </w:r>
      <w:r w:rsidRPr="0068236C">
        <w:rPr>
          <w:lang w:eastAsia="pl-PL"/>
        </w:rPr>
        <w:t xml:space="preserve">przypadku spełnienia przez </w:t>
      </w:r>
      <w:r w:rsidR="00AF48BE">
        <w:rPr>
          <w:lang w:eastAsia="pl-PL"/>
        </w:rPr>
        <w:t>Pożyczkobiorcę</w:t>
      </w:r>
      <w:r w:rsidRPr="0068236C">
        <w:rPr>
          <w:lang w:eastAsia="pl-PL"/>
        </w:rPr>
        <w:t xml:space="preserve"> więcej niż jednego z ww. warunków wysokość umorzeń </w:t>
      </w:r>
      <w:r w:rsidRPr="000635E8">
        <w:rPr>
          <w:rFonts w:asciiTheme="minorHAnsi" w:eastAsia="Times New Roman" w:hAnsiTheme="minorHAnsi"/>
          <w:iCs/>
          <w:lang w:eastAsia="pl-PL"/>
        </w:rPr>
        <w:t>nie sumuje się.</w:t>
      </w:r>
    </w:p>
    <w:p w14:paraId="1369A1B6" w14:textId="1B7CEAEB" w:rsidR="0023599F" w:rsidRPr="000635E8" w:rsidRDefault="0023599F" w:rsidP="00D968C9">
      <w:pPr>
        <w:numPr>
          <w:ilvl w:val="0"/>
          <w:numId w:val="7"/>
        </w:numPr>
        <w:spacing w:before="100" w:beforeAutospacing="1" w:after="120"/>
        <w:jc w:val="both"/>
        <w:rPr>
          <w:rFonts w:asciiTheme="minorHAnsi" w:hAnsiTheme="minorHAnsi"/>
        </w:rPr>
      </w:pPr>
      <w:r w:rsidRPr="000635E8">
        <w:rPr>
          <w:rFonts w:asciiTheme="minorHAnsi" w:eastAsia="Times New Roman" w:hAnsiTheme="minorHAnsi"/>
          <w:iCs/>
          <w:lang w:eastAsia="pl-PL"/>
        </w:rPr>
        <w:t>Informacje d</w:t>
      </w:r>
      <w:r>
        <w:t>otyczące spełniana warunk</w:t>
      </w:r>
      <w:r w:rsidR="00606088">
        <w:t xml:space="preserve">ów </w:t>
      </w:r>
      <w:r>
        <w:t xml:space="preserve">umorzeń </w:t>
      </w:r>
      <w:r w:rsidR="002C7677">
        <w:t xml:space="preserve">o których mowa w pkt. </w:t>
      </w:r>
      <w:r w:rsidR="00965FBB">
        <w:t xml:space="preserve">1 </w:t>
      </w:r>
      <w:r>
        <w:t>zostały określone w</w:t>
      </w:r>
      <w:r w:rsidR="00492C60">
        <w:t> </w:t>
      </w:r>
      <w:r>
        <w:t xml:space="preserve">Załączniku nr 1 do </w:t>
      </w:r>
      <w:r w:rsidR="00514A29">
        <w:t>Karty Produktu</w:t>
      </w:r>
      <w:r>
        <w:t xml:space="preserve">. </w:t>
      </w:r>
    </w:p>
    <w:p w14:paraId="3AF314EB" w14:textId="04D18754" w:rsidR="00027378" w:rsidRPr="000635E8" w:rsidRDefault="00333757" w:rsidP="00D968C9">
      <w:pPr>
        <w:pStyle w:val="Nagwek1"/>
        <w:numPr>
          <w:ilvl w:val="0"/>
          <w:numId w:val="5"/>
        </w:numPr>
      </w:pPr>
      <w:r w:rsidRPr="000635E8">
        <w:t xml:space="preserve">Typy </w:t>
      </w:r>
      <w:r w:rsidR="00027378" w:rsidRPr="000635E8">
        <w:t>Inwestycji Końcowych</w:t>
      </w:r>
      <w:r w:rsidR="00644BF0" w:rsidRPr="000635E8">
        <w:t xml:space="preserve"> możliwe do sfinansowania</w:t>
      </w:r>
    </w:p>
    <w:p w14:paraId="0397E901" w14:textId="3A601B02" w:rsidR="00404585" w:rsidRPr="00BB72AA" w:rsidRDefault="00404585" w:rsidP="00D968C9">
      <w:pPr>
        <w:numPr>
          <w:ilvl w:val="0"/>
          <w:numId w:val="8"/>
        </w:numPr>
        <w:spacing w:before="100" w:beforeAutospacing="1" w:after="120"/>
        <w:jc w:val="both"/>
        <w:rPr>
          <w:rFonts w:asciiTheme="minorHAnsi" w:hAnsiTheme="minorHAnsi"/>
        </w:rPr>
      </w:pPr>
      <w:r w:rsidRPr="00B50957">
        <w:rPr>
          <w:lang w:eastAsia="pl-PL"/>
        </w:rPr>
        <w:t xml:space="preserve">Celem </w:t>
      </w:r>
      <w:r w:rsidRPr="00BB72AA">
        <w:rPr>
          <w:rFonts w:asciiTheme="minorHAnsi" w:hAnsiTheme="minorHAnsi"/>
        </w:rPr>
        <w:t>pożyczki na cyfryzację jest wzrost konkurencyjności MŚP oparty na wykorzystaniu technologii cyfrowych, służących m.in. automatyzacji procesów i wdrożeniu nowych sposobów funkcjonowania przedsiębiorstwa, z uwzględnieniem cyberbezpieczeństwa</w:t>
      </w:r>
      <w:r w:rsidR="00537681" w:rsidRPr="00BB72AA">
        <w:rPr>
          <w:rFonts w:asciiTheme="minorHAnsi" w:hAnsiTheme="minorHAnsi"/>
        </w:rPr>
        <w:t xml:space="preserve"> </w:t>
      </w:r>
      <w:r w:rsidR="00231CDB" w:rsidRPr="00BB72AA">
        <w:rPr>
          <w:rFonts w:asciiTheme="minorHAnsi" w:hAnsiTheme="minorHAnsi"/>
        </w:rPr>
        <w:t xml:space="preserve"> (Typ Inwestycji Końcowej</w:t>
      </w:r>
      <w:r w:rsidR="005475B0" w:rsidRPr="00BB72AA">
        <w:rPr>
          <w:rFonts w:asciiTheme="minorHAnsi" w:hAnsiTheme="minorHAnsi"/>
        </w:rPr>
        <w:t>)</w:t>
      </w:r>
      <w:r w:rsidRPr="00BB72AA">
        <w:rPr>
          <w:rFonts w:asciiTheme="minorHAnsi" w:hAnsiTheme="minorHAnsi"/>
        </w:rPr>
        <w:t>.</w:t>
      </w:r>
    </w:p>
    <w:p w14:paraId="55AA5CA0" w14:textId="43267FB8" w:rsidR="00F647E2" w:rsidRPr="00B50957" w:rsidRDefault="00BF7041" w:rsidP="00D968C9">
      <w:pPr>
        <w:numPr>
          <w:ilvl w:val="0"/>
          <w:numId w:val="8"/>
        </w:numPr>
        <w:spacing w:before="100" w:beforeAutospacing="1" w:after="120"/>
        <w:jc w:val="both"/>
        <w:rPr>
          <w:lang w:eastAsia="pl-PL"/>
        </w:rPr>
      </w:pPr>
      <w:r w:rsidRPr="00BB72AA">
        <w:rPr>
          <w:rFonts w:asciiTheme="minorHAnsi" w:hAnsiTheme="minorHAnsi"/>
        </w:rPr>
        <w:t>J</w:t>
      </w:r>
      <w:r w:rsidR="006151E2" w:rsidRPr="00BB72AA">
        <w:rPr>
          <w:rFonts w:asciiTheme="minorHAnsi" w:hAnsiTheme="minorHAnsi"/>
        </w:rPr>
        <w:t>ednostkowe Pożyczki</w:t>
      </w:r>
      <w:r w:rsidR="006151E2" w:rsidRPr="00B50957">
        <w:rPr>
          <w:lang w:eastAsia="pl-PL"/>
        </w:rPr>
        <w:t xml:space="preserve"> </w:t>
      </w:r>
      <w:r w:rsidR="00E9792C" w:rsidRPr="00B50957">
        <w:rPr>
          <w:lang w:eastAsia="pl-PL"/>
        </w:rPr>
        <w:t>mogą finansować następujące</w:t>
      </w:r>
      <w:r w:rsidR="005475B0" w:rsidRPr="00B50957">
        <w:rPr>
          <w:lang w:eastAsia="pl-PL"/>
        </w:rPr>
        <w:t xml:space="preserve"> rodzaje wydatków</w:t>
      </w:r>
      <w:r w:rsidR="00B049DB" w:rsidRPr="00B50957">
        <w:rPr>
          <w:lang w:eastAsia="pl-PL"/>
        </w:rPr>
        <w:t>:</w:t>
      </w:r>
    </w:p>
    <w:p w14:paraId="03B05972" w14:textId="7E65F8A3" w:rsidR="00F647E2" w:rsidRPr="00C36F8B" w:rsidRDefault="00F647E2" w:rsidP="00D968C9">
      <w:pPr>
        <w:numPr>
          <w:ilvl w:val="0"/>
          <w:numId w:val="3"/>
        </w:numPr>
        <w:spacing w:after="120"/>
        <w:jc w:val="both"/>
        <w:rPr>
          <w:rFonts w:asciiTheme="minorHAnsi" w:hAnsiTheme="minorHAnsi"/>
        </w:rPr>
      </w:pPr>
      <w:r w:rsidRPr="00C36F8B">
        <w:rPr>
          <w:rFonts w:asciiTheme="minorHAnsi" w:eastAsia="Times New Roman" w:hAnsiTheme="minorHAnsi"/>
          <w:iCs/>
          <w:lang w:eastAsia="pl-PL"/>
        </w:rPr>
        <w:t>usług</w:t>
      </w:r>
      <w:r w:rsidR="00E9792C" w:rsidRPr="00C36F8B">
        <w:rPr>
          <w:rFonts w:asciiTheme="minorHAnsi" w:eastAsia="Times New Roman" w:hAnsiTheme="minorHAnsi"/>
          <w:iCs/>
          <w:lang w:eastAsia="pl-PL"/>
        </w:rPr>
        <w:t>i</w:t>
      </w:r>
      <w:r w:rsidRPr="00C36F8B">
        <w:rPr>
          <w:rFonts w:asciiTheme="minorHAnsi" w:eastAsia="Times New Roman" w:hAnsiTheme="minorHAnsi"/>
          <w:iCs/>
          <w:lang w:eastAsia="pl-PL"/>
        </w:rPr>
        <w:t xml:space="preserve"> </w:t>
      </w:r>
      <w:r w:rsidRPr="00CF5B49">
        <w:rPr>
          <w:rFonts w:asciiTheme="minorHAnsi" w:hAnsiTheme="minorHAnsi"/>
        </w:rPr>
        <w:t>programistyczn</w:t>
      </w:r>
      <w:r w:rsidR="00E9792C" w:rsidRPr="00CF5B49">
        <w:rPr>
          <w:rFonts w:asciiTheme="minorHAnsi" w:hAnsiTheme="minorHAnsi"/>
        </w:rPr>
        <w:t>e</w:t>
      </w:r>
      <w:r w:rsidRPr="00CF5B49">
        <w:rPr>
          <w:rFonts w:asciiTheme="minorHAnsi" w:hAnsiTheme="minorHAnsi"/>
        </w:rPr>
        <w:t xml:space="preserve"> </w:t>
      </w:r>
      <w:r w:rsidRPr="00C36F8B">
        <w:rPr>
          <w:rFonts w:asciiTheme="minorHAnsi" w:hAnsiTheme="minorHAnsi"/>
        </w:rPr>
        <w:t>lub/i gotowe oprogramowani</w:t>
      </w:r>
      <w:r w:rsidR="00E9792C" w:rsidRPr="00C36F8B">
        <w:rPr>
          <w:rFonts w:asciiTheme="minorHAnsi" w:hAnsiTheme="minorHAnsi"/>
        </w:rPr>
        <w:t>e</w:t>
      </w:r>
      <w:r w:rsidRPr="00C36F8B">
        <w:rPr>
          <w:rFonts w:asciiTheme="minorHAnsi" w:hAnsiTheme="minorHAnsi"/>
        </w:rPr>
        <w:t xml:space="preserve"> wraz z wdrożeniem (nabycie wartości niematerialnych i prawnych na własność lub </w:t>
      </w:r>
      <w:r w:rsidR="006624E9" w:rsidRPr="00C36F8B">
        <w:rPr>
          <w:rFonts w:asciiTheme="minorHAnsi" w:hAnsiTheme="minorHAnsi"/>
        </w:rPr>
        <w:t xml:space="preserve">w formie </w:t>
      </w:r>
      <w:r w:rsidR="00BA3D1E">
        <w:rPr>
          <w:rFonts w:asciiTheme="minorHAnsi" w:hAnsiTheme="minorHAnsi"/>
        </w:rPr>
        <w:t>licencji) w celu opracowania</w:t>
      </w:r>
      <w:r w:rsidRPr="00C36F8B">
        <w:rPr>
          <w:rFonts w:asciiTheme="minorHAnsi" w:hAnsiTheme="minorHAnsi"/>
        </w:rPr>
        <w:t xml:space="preserve">/ wprowadzenia do praktyki rozwiązania cyfryzacyjnego, zapewniającego automatyzację </w:t>
      </w:r>
      <w:r w:rsidR="008A4B0C" w:rsidRPr="00C36F8B">
        <w:rPr>
          <w:rFonts w:asciiTheme="minorHAnsi" w:hAnsiTheme="minorHAnsi"/>
        </w:rPr>
        <w:t>procesów w</w:t>
      </w:r>
      <w:r w:rsidR="00492C60">
        <w:rPr>
          <w:rFonts w:asciiTheme="minorHAnsi" w:hAnsiTheme="minorHAnsi"/>
        </w:rPr>
        <w:t> </w:t>
      </w:r>
      <w:r w:rsidR="008A4B0C" w:rsidRPr="00C36F8B">
        <w:rPr>
          <w:rFonts w:asciiTheme="minorHAnsi" w:hAnsiTheme="minorHAnsi"/>
        </w:rPr>
        <w:t>przedsiębiorstwie,</w:t>
      </w:r>
      <w:r w:rsidR="007B2670">
        <w:rPr>
          <w:rFonts w:asciiTheme="minorHAnsi" w:hAnsiTheme="minorHAnsi"/>
        </w:rPr>
        <w:t xml:space="preserve"> </w:t>
      </w:r>
    </w:p>
    <w:p w14:paraId="1F640C6F" w14:textId="2CC7725C" w:rsidR="00F647E2" w:rsidRPr="00C36F8B" w:rsidRDefault="00E9792C" w:rsidP="00D968C9">
      <w:pPr>
        <w:numPr>
          <w:ilvl w:val="0"/>
          <w:numId w:val="3"/>
        </w:numPr>
        <w:spacing w:after="120"/>
        <w:jc w:val="both"/>
        <w:rPr>
          <w:rFonts w:asciiTheme="minorHAnsi" w:hAnsiTheme="minorHAnsi"/>
        </w:rPr>
      </w:pPr>
      <w:r w:rsidRPr="00C36F8B">
        <w:rPr>
          <w:rFonts w:asciiTheme="minorHAnsi" w:hAnsiTheme="minorHAnsi"/>
        </w:rPr>
        <w:t xml:space="preserve">zakup </w:t>
      </w:r>
      <w:r w:rsidR="00F647E2" w:rsidRPr="00C36F8B">
        <w:rPr>
          <w:rFonts w:asciiTheme="minorHAnsi" w:hAnsiTheme="minorHAnsi"/>
        </w:rPr>
        <w:t>środków trwałych, w tym sprzętu komputerowego, urządzeń / rozwiązań w zakresie transferu, przetwarzania i magazynowania danych, dostępu do chmury oblicz</w:t>
      </w:r>
      <w:r w:rsidR="008A4B0C" w:rsidRPr="00C36F8B">
        <w:rPr>
          <w:rFonts w:asciiTheme="minorHAnsi" w:hAnsiTheme="minorHAnsi"/>
        </w:rPr>
        <w:t xml:space="preserve">eniowej, </w:t>
      </w:r>
      <w:r w:rsidR="006A2766">
        <w:rPr>
          <w:rFonts w:asciiTheme="minorHAnsi" w:hAnsiTheme="minorHAnsi"/>
        </w:rPr>
        <w:t xml:space="preserve">środki trwałe o niskiej wartości </w:t>
      </w:r>
    </w:p>
    <w:p w14:paraId="5C3DC3A2" w14:textId="636511E2" w:rsidR="00F647E2" w:rsidRPr="00C36F8B" w:rsidRDefault="00185BD8" w:rsidP="00D968C9">
      <w:pPr>
        <w:numPr>
          <w:ilvl w:val="0"/>
          <w:numId w:val="3"/>
        </w:numPr>
        <w:spacing w:after="120"/>
        <w:jc w:val="both"/>
        <w:rPr>
          <w:rFonts w:asciiTheme="minorHAnsi" w:hAnsiTheme="minorHAnsi"/>
        </w:rPr>
      </w:pPr>
      <w:r w:rsidRPr="00C36F8B">
        <w:rPr>
          <w:rFonts w:asciiTheme="minorHAnsi" w:hAnsiTheme="minorHAnsi"/>
        </w:rPr>
        <w:t xml:space="preserve">zakup </w:t>
      </w:r>
      <w:r w:rsidR="00F647E2" w:rsidRPr="00C36F8B">
        <w:rPr>
          <w:rFonts w:asciiTheme="minorHAnsi" w:hAnsiTheme="minorHAnsi"/>
        </w:rPr>
        <w:t xml:space="preserve">rozwiązań / urządzeń podnoszących </w:t>
      </w:r>
      <w:r w:rsidR="008A4B0C" w:rsidRPr="00C36F8B">
        <w:rPr>
          <w:rFonts w:asciiTheme="minorHAnsi" w:hAnsiTheme="minorHAnsi"/>
        </w:rPr>
        <w:t>cyberbezpieczeństwo,</w:t>
      </w:r>
    </w:p>
    <w:p w14:paraId="49126333" w14:textId="7FDAE36F" w:rsidR="00B049DB" w:rsidRDefault="00F647E2" w:rsidP="00D968C9">
      <w:pPr>
        <w:numPr>
          <w:ilvl w:val="0"/>
          <w:numId w:val="3"/>
        </w:numPr>
        <w:spacing w:after="120"/>
        <w:jc w:val="both"/>
        <w:rPr>
          <w:rFonts w:asciiTheme="minorHAnsi" w:hAnsiTheme="minorHAnsi"/>
        </w:rPr>
      </w:pPr>
      <w:r w:rsidRPr="00C36F8B">
        <w:rPr>
          <w:rFonts w:asciiTheme="minorHAnsi" w:hAnsiTheme="minorHAnsi"/>
        </w:rPr>
        <w:t>usług</w:t>
      </w:r>
      <w:r w:rsidR="00185BD8" w:rsidRPr="00C36F8B">
        <w:rPr>
          <w:rFonts w:asciiTheme="minorHAnsi" w:hAnsiTheme="minorHAnsi"/>
        </w:rPr>
        <w:t>i</w:t>
      </w:r>
      <w:r w:rsidRPr="00C36F8B">
        <w:rPr>
          <w:rFonts w:asciiTheme="minorHAnsi" w:hAnsiTheme="minorHAnsi"/>
        </w:rPr>
        <w:t xml:space="preserve"> doradcz</w:t>
      </w:r>
      <w:r w:rsidR="00185BD8" w:rsidRPr="00C36F8B">
        <w:rPr>
          <w:rFonts w:asciiTheme="minorHAnsi" w:hAnsiTheme="minorHAnsi"/>
        </w:rPr>
        <w:t>e</w:t>
      </w:r>
      <w:r w:rsidRPr="00C36F8B">
        <w:rPr>
          <w:rFonts w:asciiTheme="minorHAnsi" w:hAnsiTheme="minorHAnsi"/>
        </w:rPr>
        <w:t xml:space="preserve"> związan</w:t>
      </w:r>
      <w:r w:rsidR="00185BD8" w:rsidRPr="00C36F8B">
        <w:rPr>
          <w:rFonts w:asciiTheme="minorHAnsi" w:hAnsiTheme="minorHAnsi"/>
        </w:rPr>
        <w:t>e</w:t>
      </w:r>
      <w:r w:rsidRPr="00C36F8B">
        <w:rPr>
          <w:rFonts w:asciiTheme="minorHAnsi" w:hAnsiTheme="minorHAnsi"/>
        </w:rPr>
        <w:t xml:space="preserve"> z opracowaniem i wdrożeniem mapy / planu cyfryzacji procesów w</w:t>
      </w:r>
      <w:r w:rsidR="00BA3D1E">
        <w:rPr>
          <w:rFonts w:asciiTheme="minorHAnsi" w:hAnsiTheme="minorHAnsi"/>
        </w:rPr>
        <w:t> </w:t>
      </w:r>
      <w:r w:rsidRPr="00C36F8B">
        <w:rPr>
          <w:rFonts w:asciiTheme="minorHAnsi" w:hAnsiTheme="minorHAnsi"/>
        </w:rPr>
        <w:t>przedsiębiors</w:t>
      </w:r>
      <w:r w:rsidR="008A4B0C" w:rsidRPr="00C36F8B">
        <w:rPr>
          <w:rFonts w:asciiTheme="minorHAnsi" w:hAnsiTheme="minorHAnsi"/>
        </w:rPr>
        <w:t>twie (</w:t>
      </w:r>
      <w:r w:rsidR="00D6182A">
        <w:rPr>
          <w:rFonts w:asciiTheme="minorHAnsi" w:hAnsiTheme="minorHAnsi"/>
        </w:rPr>
        <w:t xml:space="preserve">jedynie </w:t>
      </w:r>
      <w:r w:rsidR="008A4B0C" w:rsidRPr="00C36F8B">
        <w:rPr>
          <w:rFonts w:asciiTheme="minorHAnsi" w:hAnsiTheme="minorHAnsi"/>
        </w:rPr>
        <w:t xml:space="preserve">jako element </w:t>
      </w:r>
      <w:r w:rsidR="00513AE5">
        <w:rPr>
          <w:rFonts w:asciiTheme="minorHAnsi" w:hAnsiTheme="minorHAnsi"/>
        </w:rPr>
        <w:t>I</w:t>
      </w:r>
      <w:r w:rsidR="00513AE5" w:rsidRPr="00C36F8B">
        <w:rPr>
          <w:rFonts w:asciiTheme="minorHAnsi" w:hAnsiTheme="minorHAnsi"/>
        </w:rPr>
        <w:t>nwestycji</w:t>
      </w:r>
      <w:r w:rsidR="00513AE5">
        <w:rPr>
          <w:rFonts w:asciiTheme="minorHAnsi" w:hAnsiTheme="minorHAnsi"/>
        </w:rPr>
        <w:t xml:space="preserve"> Końcowej</w:t>
      </w:r>
      <w:r w:rsidR="00455412">
        <w:rPr>
          <w:rFonts w:asciiTheme="minorHAnsi" w:hAnsiTheme="minorHAnsi"/>
        </w:rPr>
        <w:t>)</w:t>
      </w:r>
      <w:r w:rsidR="00D6182A">
        <w:rPr>
          <w:rFonts w:asciiTheme="minorHAnsi" w:hAnsiTheme="minorHAnsi"/>
        </w:rPr>
        <w:t xml:space="preserve">. </w:t>
      </w:r>
      <w:r w:rsidR="00AC212A">
        <w:rPr>
          <w:rFonts w:asciiTheme="minorHAnsi" w:hAnsiTheme="minorHAnsi"/>
        </w:rPr>
        <w:t xml:space="preserve"> </w:t>
      </w:r>
    </w:p>
    <w:p w14:paraId="7E3B2675" w14:textId="11310C78" w:rsidR="00B049DB" w:rsidRPr="00B049DB" w:rsidRDefault="00F647E2" w:rsidP="00D968C9">
      <w:pPr>
        <w:pStyle w:val="Akapitzlist"/>
        <w:numPr>
          <w:ilvl w:val="0"/>
          <w:numId w:val="3"/>
        </w:numPr>
        <w:spacing w:after="120"/>
        <w:ind w:left="782" w:hanging="357"/>
        <w:jc w:val="both"/>
        <w:rPr>
          <w:rFonts w:asciiTheme="minorHAnsi" w:hAnsiTheme="minorHAnsi"/>
        </w:rPr>
      </w:pPr>
      <w:r w:rsidRPr="00B049DB">
        <w:rPr>
          <w:rFonts w:asciiTheme="minorHAnsi" w:hAnsiTheme="minorHAnsi"/>
        </w:rPr>
        <w:t>usług</w:t>
      </w:r>
      <w:r w:rsidR="00185BD8" w:rsidRPr="00B049DB">
        <w:rPr>
          <w:rFonts w:asciiTheme="minorHAnsi" w:hAnsiTheme="minorHAnsi"/>
        </w:rPr>
        <w:t>i</w:t>
      </w:r>
      <w:r w:rsidRPr="00B049DB">
        <w:rPr>
          <w:rFonts w:asciiTheme="minorHAnsi" w:hAnsiTheme="minorHAnsi"/>
        </w:rPr>
        <w:t xml:space="preserve"> doradcz</w:t>
      </w:r>
      <w:r w:rsidR="00185BD8" w:rsidRPr="00B049DB">
        <w:rPr>
          <w:rFonts w:asciiTheme="minorHAnsi" w:hAnsiTheme="minorHAnsi"/>
        </w:rPr>
        <w:t>e</w:t>
      </w:r>
      <w:r w:rsidRPr="00B049DB">
        <w:rPr>
          <w:rFonts w:asciiTheme="minorHAnsi" w:hAnsiTheme="minorHAnsi"/>
        </w:rPr>
        <w:t xml:space="preserve"> i szkoleniow</w:t>
      </w:r>
      <w:r w:rsidR="00185BD8" w:rsidRPr="00B049DB">
        <w:rPr>
          <w:rFonts w:asciiTheme="minorHAnsi" w:hAnsiTheme="minorHAnsi"/>
        </w:rPr>
        <w:t>e</w:t>
      </w:r>
      <w:r w:rsidRPr="00B049DB">
        <w:rPr>
          <w:rFonts w:asciiTheme="minorHAnsi" w:hAnsiTheme="minorHAnsi"/>
        </w:rPr>
        <w:t xml:space="preserve"> związan</w:t>
      </w:r>
      <w:r w:rsidR="00015096">
        <w:rPr>
          <w:rFonts w:asciiTheme="minorHAnsi" w:hAnsiTheme="minorHAnsi"/>
        </w:rPr>
        <w:t>e</w:t>
      </w:r>
      <w:r w:rsidRPr="00B049DB">
        <w:rPr>
          <w:rFonts w:asciiTheme="minorHAnsi" w:hAnsiTheme="minorHAnsi"/>
        </w:rPr>
        <w:t xml:space="preserve"> z wdrożeniem i obsługą poddanych cyfryzacji procesów w</w:t>
      </w:r>
      <w:r w:rsidR="00492C60">
        <w:rPr>
          <w:rFonts w:asciiTheme="minorHAnsi" w:hAnsiTheme="minorHAnsi"/>
        </w:rPr>
        <w:t> </w:t>
      </w:r>
      <w:r w:rsidRPr="00B049DB">
        <w:rPr>
          <w:rFonts w:asciiTheme="minorHAnsi" w:hAnsiTheme="minorHAnsi"/>
        </w:rPr>
        <w:t>przedsiębior</w:t>
      </w:r>
      <w:r w:rsidR="008A4B0C" w:rsidRPr="00B049DB">
        <w:rPr>
          <w:rFonts w:asciiTheme="minorHAnsi" w:hAnsiTheme="minorHAnsi"/>
        </w:rPr>
        <w:t>stwie (</w:t>
      </w:r>
      <w:r w:rsidR="00E208E0" w:rsidRPr="00B049DB">
        <w:rPr>
          <w:rFonts w:asciiTheme="minorHAnsi" w:hAnsiTheme="minorHAnsi"/>
        </w:rPr>
        <w:t xml:space="preserve">jedynie </w:t>
      </w:r>
      <w:r w:rsidR="008A4B0C" w:rsidRPr="00B049DB">
        <w:rPr>
          <w:rFonts w:asciiTheme="minorHAnsi" w:hAnsiTheme="minorHAnsi"/>
        </w:rPr>
        <w:t>jako</w:t>
      </w:r>
      <w:r w:rsidR="008A4B0C" w:rsidRPr="00B049DB">
        <w:rPr>
          <w:rFonts w:asciiTheme="minorHAnsi" w:eastAsia="Times New Roman" w:hAnsiTheme="minorHAnsi"/>
          <w:iCs/>
          <w:lang w:eastAsia="pl-PL"/>
        </w:rPr>
        <w:t xml:space="preserve"> eleme</w:t>
      </w:r>
      <w:r w:rsidR="00E27118" w:rsidRPr="00B049DB">
        <w:rPr>
          <w:rFonts w:asciiTheme="minorHAnsi" w:eastAsia="Times New Roman" w:hAnsiTheme="minorHAnsi"/>
          <w:iCs/>
          <w:lang w:eastAsia="pl-PL"/>
        </w:rPr>
        <w:t>nt Inwestycji końcowej</w:t>
      </w:r>
      <w:r w:rsidR="00015096">
        <w:rPr>
          <w:rFonts w:asciiTheme="minorHAnsi" w:eastAsia="Times New Roman" w:hAnsiTheme="minorHAnsi"/>
          <w:iCs/>
          <w:lang w:eastAsia="pl-PL"/>
        </w:rPr>
        <w:t>)</w:t>
      </w:r>
      <w:r w:rsidRPr="00B049DB">
        <w:rPr>
          <w:rFonts w:asciiTheme="minorHAnsi" w:eastAsia="Times New Roman" w:hAnsiTheme="minorHAnsi"/>
          <w:iCs/>
          <w:lang w:eastAsia="pl-PL"/>
        </w:rPr>
        <w:t>.</w:t>
      </w:r>
    </w:p>
    <w:p w14:paraId="7125460D" w14:textId="64B235BF" w:rsidR="0074717E" w:rsidRPr="00BB72AA" w:rsidRDefault="00E27118" w:rsidP="00D968C9">
      <w:pPr>
        <w:numPr>
          <w:ilvl w:val="0"/>
          <w:numId w:val="8"/>
        </w:numPr>
        <w:spacing w:after="120"/>
        <w:ind w:left="62" w:hanging="357"/>
        <w:jc w:val="both"/>
        <w:rPr>
          <w:rFonts w:asciiTheme="minorHAnsi" w:hAnsiTheme="minorHAnsi"/>
        </w:rPr>
      </w:pPr>
      <w:r w:rsidRPr="00BB72AA">
        <w:rPr>
          <w:rFonts w:asciiTheme="minorHAnsi" w:hAnsiTheme="minorHAnsi"/>
        </w:rPr>
        <w:t xml:space="preserve">Finansowanie usług doradczych i szkoleniowych o których mowa w pkt. </w:t>
      </w:r>
      <w:r w:rsidR="007353BA" w:rsidRPr="00BB72AA">
        <w:rPr>
          <w:rFonts w:asciiTheme="minorHAnsi" w:hAnsiTheme="minorHAnsi"/>
        </w:rPr>
        <w:t>2</w:t>
      </w:r>
      <w:r w:rsidRPr="00BB72AA">
        <w:rPr>
          <w:rFonts w:asciiTheme="minorHAnsi" w:hAnsiTheme="minorHAnsi"/>
        </w:rPr>
        <w:t xml:space="preserve"> ppkt. 4) i 5) możliw</w:t>
      </w:r>
      <w:r w:rsidR="00015096" w:rsidRPr="00BB72AA">
        <w:rPr>
          <w:rFonts w:asciiTheme="minorHAnsi" w:hAnsiTheme="minorHAnsi"/>
        </w:rPr>
        <w:t>e</w:t>
      </w:r>
      <w:r w:rsidRPr="00BB72AA">
        <w:rPr>
          <w:rFonts w:asciiTheme="minorHAnsi" w:hAnsiTheme="minorHAnsi"/>
        </w:rPr>
        <w:t xml:space="preserve"> jest jedynie jako element uzupełniający dla </w:t>
      </w:r>
      <w:r w:rsidR="00015096" w:rsidRPr="00BB72AA">
        <w:rPr>
          <w:rFonts w:asciiTheme="minorHAnsi" w:hAnsiTheme="minorHAnsi"/>
        </w:rPr>
        <w:t>I</w:t>
      </w:r>
      <w:r w:rsidRPr="00BB72AA">
        <w:rPr>
          <w:rFonts w:asciiTheme="minorHAnsi" w:hAnsiTheme="minorHAnsi"/>
        </w:rPr>
        <w:t xml:space="preserve">nwestycji </w:t>
      </w:r>
      <w:r w:rsidR="00015096" w:rsidRPr="00BB72AA">
        <w:rPr>
          <w:rFonts w:asciiTheme="minorHAnsi" w:hAnsiTheme="minorHAnsi"/>
        </w:rPr>
        <w:t>K</w:t>
      </w:r>
      <w:r w:rsidRPr="00BB72AA">
        <w:rPr>
          <w:rFonts w:asciiTheme="minorHAnsi" w:hAnsiTheme="minorHAnsi"/>
        </w:rPr>
        <w:t>ońcow</w:t>
      </w:r>
      <w:r w:rsidR="00537681" w:rsidRPr="00BB72AA">
        <w:rPr>
          <w:rFonts w:asciiTheme="minorHAnsi" w:hAnsiTheme="minorHAnsi"/>
        </w:rPr>
        <w:t>ej</w:t>
      </w:r>
      <w:r w:rsidR="00015096" w:rsidRPr="00BB72AA">
        <w:rPr>
          <w:rFonts w:asciiTheme="minorHAnsi" w:hAnsiTheme="minorHAnsi"/>
        </w:rPr>
        <w:t>,</w:t>
      </w:r>
      <w:r w:rsidRPr="00BB72AA">
        <w:rPr>
          <w:rFonts w:asciiTheme="minorHAnsi" w:hAnsiTheme="minorHAnsi"/>
        </w:rPr>
        <w:t xml:space="preserve"> a ich koszt nie może stano</w:t>
      </w:r>
      <w:r w:rsidR="00BC310B" w:rsidRPr="00BB72AA">
        <w:rPr>
          <w:rFonts w:asciiTheme="minorHAnsi" w:hAnsiTheme="minorHAnsi"/>
        </w:rPr>
        <w:t xml:space="preserve">wić więcej niż 20 </w:t>
      </w:r>
      <w:r w:rsidRPr="00BB72AA">
        <w:rPr>
          <w:rFonts w:asciiTheme="minorHAnsi" w:hAnsiTheme="minorHAnsi"/>
        </w:rPr>
        <w:t xml:space="preserve">% </w:t>
      </w:r>
      <w:r w:rsidR="00B049DB" w:rsidRPr="00BB72AA">
        <w:rPr>
          <w:rFonts w:asciiTheme="minorHAnsi" w:hAnsiTheme="minorHAnsi"/>
        </w:rPr>
        <w:t xml:space="preserve">wartości </w:t>
      </w:r>
      <w:r w:rsidR="00B91A1F" w:rsidRPr="00BB72AA">
        <w:rPr>
          <w:rFonts w:asciiTheme="minorHAnsi" w:hAnsiTheme="minorHAnsi"/>
        </w:rPr>
        <w:t>J</w:t>
      </w:r>
      <w:r w:rsidR="00B049DB" w:rsidRPr="00BB72AA">
        <w:rPr>
          <w:rFonts w:asciiTheme="minorHAnsi" w:hAnsiTheme="minorHAnsi"/>
        </w:rPr>
        <w:t xml:space="preserve">ednostkowej </w:t>
      </w:r>
      <w:r w:rsidR="00B91A1F" w:rsidRPr="00BB72AA">
        <w:rPr>
          <w:rFonts w:asciiTheme="minorHAnsi" w:hAnsiTheme="minorHAnsi"/>
        </w:rPr>
        <w:t>P</w:t>
      </w:r>
      <w:r w:rsidR="00B049DB" w:rsidRPr="00BB72AA">
        <w:rPr>
          <w:rFonts w:asciiTheme="minorHAnsi" w:hAnsiTheme="minorHAnsi"/>
        </w:rPr>
        <w:t>ożyczki.</w:t>
      </w:r>
    </w:p>
    <w:p w14:paraId="7351C2DF" w14:textId="4C3F50F7" w:rsidR="00B049DB" w:rsidRPr="00BB72AA" w:rsidRDefault="00577D94" w:rsidP="00D968C9">
      <w:pPr>
        <w:numPr>
          <w:ilvl w:val="0"/>
          <w:numId w:val="8"/>
        </w:numPr>
        <w:spacing w:before="100" w:beforeAutospacing="1" w:after="120"/>
        <w:jc w:val="both"/>
        <w:rPr>
          <w:rFonts w:asciiTheme="minorHAnsi" w:hAnsiTheme="minorHAnsi"/>
        </w:rPr>
      </w:pPr>
      <w:r w:rsidRPr="00BB72AA">
        <w:rPr>
          <w:rFonts w:asciiTheme="minorHAnsi" w:hAnsiTheme="minorHAnsi"/>
        </w:rPr>
        <w:lastRenderedPageBreak/>
        <w:t xml:space="preserve">Jednostkowe Pożyczki  </w:t>
      </w:r>
      <w:r w:rsidR="006C6A38" w:rsidRPr="00BB72AA">
        <w:rPr>
          <w:rFonts w:asciiTheme="minorHAnsi" w:hAnsiTheme="minorHAnsi"/>
        </w:rPr>
        <w:t>finansują</w:t>
      </w:r>
      <w:r w:rsidRPr="00BB72AA">
        <w:rPr>
          <w:rFonts w:asciiTheme="minorHAnsi" w:hAnsiTheme="minorHAnsi"/>
        </w:rPr>
        <w:t xml:space="preserve"> Inwestycje Końcowe zlokalizowane na terenie województwa </w:t>
      </w:r>
      <w:r w:rsidR="0098056F" w:rsidRPr="00BB72AA">
        <w:rPr>
          <w:rFonts w:asciiTheme="minorHAnsi" w:hAnsiTheme="minorHAnsi"/>
        </w:rPr>
        <w:t>warmińsko-mazurskiego</w:t>
      </w:r>
      <w:r w:rsidR="00B91A1F" w:rsidRPr="00BB72AA">
        <w:rPr>
          <w:rFonts w:asciiTheme="minorHAnsi" w:hAnsiTheme="minorHAnsi"/>
        </w:rPr>
        <w:t>,</w:t>
      </w:r>
      <w:r w:rsidR="0098056F" w:rsidRPr="00BB72AA">
        <w:rPr>
          <w:rFonts w:asciiTheme="minorHAnsi" w:hAnsiTheme="minorHAnsi"/>
        </w:rPr>
        <w:t xml:space="preserve"> </w:t>
      </w:r>
      <w:r w:rsidR="003244B8" w:rsidRPr="00BB72AA">
        <w:rPr>
          <w:rFonts w:asciiTheme="minorHAnsi" w:hAnsiTheme="minorHAnsi"/>
        </w:rPr>
        <w:t>przy czym lokalizacja siedziby/oddziału</w:t>
      </w:r>
      <w:r w:rsidR="001917FC" w:rsidRPr="00BB72AA">
        <w:rPr>
          <w:rFonts w:asciiTheme="minorHAnsi" w:hAnsiTheme="minorHAnsi"/>
        </w:rPr>
        <w:t xml:space="preserve"> </w:t>
      </w:r>
      <w:r w:rsidR="00AF48BE">
        <w:rPr>
          <w:rFonts w:asciiTheme="minorHAnsi" w:hAnsiTheme="minorHAnsi"/>
        </w:rPr>
        <w:t>Pożyczkobiorcy</w:t>
      </w:r>
      <w:r w:rsidR="00B91A1F" w:rsidRPr="00BB72AA">
        <w:rPr>
          <w:rFonts w:asciiTheme="minorHAnsi" w:hAnsiTheme="minorHAnsi"/>
        </w:rPr>
        <w:t xml:space="preserve"> również</w:t>
      </w:r>
      <w:r w:rsidR="003244B8" w:rsidRPr="00BB72AA">
        <w:rPr>
          <w:rFonts w:asciiTheme="minorHAnsi" w:hAnsiTheme="minorHAnsi"/>
        </w:rPr>
        <w:t xml:space="preserve"> musi znajdować się na terenie województwa warmińsko-mazurskiego.</w:t>
      </w:r>
    </w:p>
    <w:p w14:paraId="6142CF3B" w14:textId="11C68F6E" w:rsidR="005D5571" w:rsidRPr="00BB72AA" w:rsidRDefault="00C75F38" w:rsidP="00D968C9">
      <w:pPr>
        <w:numPr>
          <w:ilvl w:val="0"/>
          <w:numId w:val="8"/>
        </w:numPr>
        <w:spacing w:before="100" w:beforeAutospacing="1" w:after="120"/>
        <w:jc w:val="both"/>
        <w:rPr>
          <w:rFonts w:asciiTheme="minorHAnsi" w:hAnsiTheme="minorHAnsi"/>
        </w:rPr>
      </w:pPr>
      <w:r w:rsidRPr="00BB72AA">
        <w:rPr>
          <w:rFonts w:asciiTheme="minorHAnsi" w:hAnsiTheme="minorHAnsi"/>
        </w:rPr>
        <w:t>W</w:t>
      </w:r>
      <w:r w:rsidR="00AB1ED0" w:rsidRPr="00BB72AA">
        <w:rPr>
          <w:rFonts w:asciiTheme="minorHAnsi" w:hAnsiTheme="minorHAnsi"/>
        </w:rPr>
        <w:t>spierane</w:t>
      </w:r>
      <w:r w:rsidR="009D56AA" w:rsidRPr="00BB72AA">
        <w:rPr>
          <w:rFonts w:asciiTheme="minorHAnsi" w:hAnsiTheme="minorHAnsi"/>
        </w:rPr>
        <w:t xml:space="preserve"> Inwestycj</w:t>
      </w:r>
      <w:r w:rsidR="00AB1ED0" w:rsidRPr="00BB72AA">
        <w:rPr>
          <w:rFonts w:asciiTheme="minorHAnsi" w:hAnsiTheme="minorHAnsi"/>
        </w:rPr>
        <w:t>e</w:t>
      </w:r>
      <w:r w:rsidR="009D56AA" w:rsidRPr="00BB72AA">
        <w:rPr>
          <w:rFonts w:asciiTheme="minorHAnsi" w:hAnsiTheme="minorHAnsi"/>
        </w:rPr>
        <w:t xml:space="preserve"> Końcow</w:t>
      </w:r>
      <w:r w:rsidR="00AB1ED0" w:rsidRPr="00BB72AA">
        <w:rPr>
          <w:rFonts w:asciiTheme="minorHAnsi" w:hAnsiTheme="minorHAnsi"/>
        </w:rPr>
        <w:t>e</w:t>
      </w:r>
      <w:r w:rsidR="009D56AA" w:rsidRPr="00BB72AA">
        <w:rPr>
          <w:rFonts w:asciiTheme="minorHAnsi" w:hAnsiTheme="minorHAnsi"/>
        </w:rPr>
        <w:t xml:space="preserve"> dotyczące </w:t>
      </w:r>
      <w:r w:rsidRPr="00BB72AA">
        <w:rPr>
          <w:rFonts w:asciiTheme="minorHAnsi" w:hAnsiTheme="minorHAnsi"/>
        </w:rPr>
        <w:t xml:space="preserve">e-usług, </w:t>
      </w:r>
      <w:r w:rsidR="00BB0A8D" w:rsidRPr="00BB72AA">
        <w:rPr>
          <w:rFonts w:asciiTheme="minorHAnsi" w:hAnsiTheme="minorHAnsi"/>
        </w:rPr>
        <w:t>powinn</w:t>
      </w:r>
      <w:r w:rsidR="00C96961" w:rsidRPr="00BB72AA">
        <w:rPr>
          <w:rFonts w:asciiTheme="minorHAnsi" w:hAnsiTheme="minorHAnsi"/>
        </w:rPr>
        <w:t>y</w:t>
      </w:r>
      <w:r w:rsidR="00BB0A8D" w:rsidRPr="00BB72AA">
        <w:rPr>
          <w:rFonts w:asciiTheme="minorHAnsi" w:hAnsiTheme="minorHAnsi"/>
        </w:rPr>
        <w:t xml:space="preserve"> </w:t>
      </w:r>
      <w:r w:rsidR="002B2AB9" w:rsidRPr="00BB72AA">
        <w:rPr>
          <w:rFonts w:asciiTheme="minorHAnsi" w:hAnsiTheme="minorHAnsi"/>
        </w:rPr>
        <w:t>zakładać</w:t>
      </w:r>
      <w:r w:rsidR="00DD4FC5" w:rsidRPr="00BB72AA">
        <w:rPr>
          <w:rFonts w:asciiTheme="minorHAnsi" w:hAnsiTheme="minorHAnsi"/>
        </w:rPr>
        <w:t xml:space="preserve"> podniesienie </w:t>
      </w:r>
      <w:r w:rsidR="003A0B44" w:rsidRPr="00BB72AA">
        <w:rPr>
          <w:rFonts w:asciiTheme="minorHAnsi" w:hAnsiTheme="minorHAnsi"/>
        </w:rPr>
        <w:t xml:space="preserve">ich </w:t>
      </w:r>
      <w:r w:rsidR="00DD4FC5" w:rsidRPr="00BB72AA">
        <w:rPr>
          <w:rFonts w:asciiTheme="minorHAnsi" w:hAnsiTheme="minorHAnsi"/>
        </w:rPr>
        <w:t xml:space="preserve">jakości i dostępności zwłaszcza dla grup defaworyzowanych. Dotyczy to przede wszystkim kwestii </w:t>
      </w:r>
      <w:r w:rsidR="009D56AA" w:rsidRPr="00BB72AA">
        <w:rPr>
          <w:rFonts w:asciiTheme="minorHAnsi" w:hAnsiTheme="minorHAnsi"/>
        </w:rPr>
        <w:t xml:space="preserve">braku </w:t>
      </w:r>
      <w:r w:rsidR="0033705C" w:rsidRPr="00BB72AA">
        <w:rPr>
          <w:rFonts w:asciiTheme="minorHAnsi" w:hAnsiTheme="minorHAnsi"/>
        </w:rPr>
        <w:t xml:space="preserve">wykluczenia ze względu na </w:t>
      </w:r>
      <w:r w:rsidR="00DD4FC5" w:rsidRPr="00BB72AA">
        <w:rPr>
          <w:rFonts w:asciiTheme="minorHAnsi" w:hAnsiTheme="minorHAnsi"/>
        </w:rPr>
        <w:t>niepełnosprawnoś</w:t>
      </w:r>
      <w:r w:rsidR="0033705C" w:rsidRPr="00BB72AA">
        <w:rPr>
          <w:rFonts w:asciiTheme="minorHAnsi" w:hAnsiTheme="minorHAnsi"/>
        </w:rPr>
        <w:t>ć, wiek oraz miejsce zamieszkania</w:t>
      </w:r>
      <w:r w:rsidR="006C6A38" w:rsidRPr="00BB72AA">
        <w:rPr>
          <w:rFonts w:asciiTheme="minorHAnsi" w:hAnsiTheme="minorHAnsi"/>
        </w:rPr>
        <w:t xml:space="preserve"> </w:t>
      </w:r>
      <w:r w:rsidR="00DD4FC5" w:rsidRPr="00BB72AA">
        <w:rPr>
          <w:rFonts w:asciiTheme="minorHAnsi" w:hAnsiTheme="minorHAnsi"/>
        </w:rPr>
        <w:t>użytkowników.</w:t>
      </w:r>
    </w:p>
    <w:p w14:paraId="4CACA3CB" w14:textId="7134CBCC" w:rsidR="00F71681" w:rsidRPr="00B50957" w:rsidRDefault="00504D14" w:rsidP="00D968C9">
      <w:pPr>
        <w:numPr>
          <w:ilvl w:val="0"/>
          <w:numId w:val="8"/>
        </w:numPr>
        <w:spacing w:before="100" w:beforeAutospacing="1" w:after="120"/>
        <w:jc w:val="both"/>
      </w:pPr>
      <w:r w:rsidRPr="00B50957">
        <w:rPr>
          <w:rFonts w:asciiTheme="minorHAnsi" w:hAnsiTheme="minorHAnsi"/>
        </w:rPr>
        <w:t>Jednostkowe Pożyczki udzielane są wyłącznie na te elementy Inwestycji Końcowej, które nie są fizycznie ukończone lub w pełni wdrożone na dzień podjęcia decyzji inwestycyjnej przez P</w:t>
      </w:r>
      <w:r w:rsidR="00DE42A0">
        <w:rPr>
          <w:rFonts w:asciiTheme="minorHAnsi" w:hAnsiTheme="minorHAnsi"/>
        </w:rPr>
        <w:t>ożyczkodawcę</w:t>
      </w:r>
      <w:r w:rsidRPr="00B50957">
        <w:rPr>
          <w:rFonts w:asciiTheme="minorHAnsi" w:hAnsiTheme="minorHAnsi"/>
        </w:rPr>
        <w:t>. Pod pojęciem decyzji inwestycyjnej należy rozumieć okoliczności wskazane w sekcji 3.9.2 pkt. 2 Wytycznych dotyczących kwalifikowalności wydatków</w:t>
      </w:r>
      <w:r w:rsidR="006558FF" w:rsidRPr="00B50957">
        <w:rPr>
          <w:rFonts w:asciiTheme="minorHAnsi" w:hAnsiTheme="minorHAnsi"/>
        </w:rPr>
        <w:t xml:space="preserve"> na lata 2021 - 2027</w:t>
      </w:r>
      <w:r w:rsidRPr="00B50957">
        <w:rPr>
          <w:rFonts w:asciiTheme="minorHAnsi" w:hAnsiTheme="minorHAnsi"/>
        </w:rPr>
        <w:t>. P</w:t>
      </w:r>
      <w:r w:rsidR="00DE42A0">
        <w:rPr>
          <w:rFonts w:asciiTheme="minorHAnsi" w:hAnsiTheme="minorHAnsi"/>
        </w:rPr>
        <w:t>ożyczkodawca</w:t>
      </w:r>
      <w:r w:rsidRPr="00B50957">
        <w:rPr>
          <w:rFonts w:asciiTheme="minorHAnsi" w:hAnsiTheme="minorHAnsi"/>
        </w:rPr>
        <w:t xml:space="preserve"> </w:t>
      </w:r>
      <w:r w:rsidR="00A265FC" w:rsidRPr="00B50957">
        <w:rPr>
          <w:rFonts w:asciiTheme="minorHAnsi" w:hAnsiTheme="minorHAnsi"/>
        </w:rPr>
        <w:t>informuje</w:t>
      </w:r>
      <w:r w:rsidRPr="00B50957">
        <w:rPr>
          <w:rFonts w:asciiTheme="minorHAnsi" w:hAnsiTheme="minorHAnsi"/>
        </w:rPr>
        <w:t xml:space="preserve"> </w:t>
      </w:r>
      <w:r w:rsidR="00A265FC" w:rsidRPr="00B50957">
        <w:rPr>
          <w:rFonts w:asciiTheme="minorHAnsi" w:hAnsiTheme="minorHAnsi"/>
        </w:rPr>
        <w:t>podmiot</w:t>
      </w:r>
      <w:r w:rsidRPr="00B50957">
        <w:rPr>
          <w:rFonts w:asciiTheme="minorHAnsi" w:hAnsiTheme="minorHAnsi"/>
        </w:rPr>
        <w:t xml:space="preserve"> ubiegając</w:t>
      </w:r>
      <w:r w:rsidR="00AF5377" w:rsidRPr="00B50957">
        <w:rPr>
          <w:rFonts w:asciiTheme="minorHAnsi" w:hAnsiTheme="minorHAnsi"/>
        </w:rPr>
        <w:t>y</w:t>
      </w:r>
      <w:r w:rsidRPr="00B50957">
        <w:rPr>
          <w:rFonts w:asciiTheme="minorHAnsi" w:hAnsiTheme="minorHAnsi"/>
        </w:rPr>
        <w:t xml:space="preserve"> się o Jednostkową Pożyczkę o warunku określonym w</w:t>
      </w:r>
      <w:r w:rsidR="00BA3D1E" w:rsidRPr="00B50957">
        <w:rPr>
          <w:rFonts w:asciiTheme="minorHAnsi" w:hAnsiTheme="minorHAnsi"/>
        </w:rPr>
        <w:t> </w:t>
      </w:r>
      <w:r w:rsidRPr="00B50957">
        <w:rPr>
          <w:rFonts w:asciiTheme="minorHAnsi" w:hAnsiTheme="minorHAnsi"/>
        </w:rPr>
        <w:t xml:space="preserve">niniejszym </w:t>
      </w:r>
      <w:r w:rsidR="00814B6D" w:rsidRPr="00B50957">
        <w:rPr>
          <w:rFonts w:asciiTheme="minorHAnsi" w:hAnsiTheme="minorHAnsi"/>
        </w:rPr>
        <w:t>punkcie</w:t>
      </w:r>
      <w:r w:rsidRPr="00B50957">
        <w:rPr>
          <w:rFonts w:asciiTheme="minorHAnsi" w:hAnsiTheme="minorHAnsi"/>
        </w:rPr>
        <w:t>.</w:t>
      </w:r>
    </w:p>
    <w:p w14:paraId="16147EE9" w14:textId="672C3091" w:rsidR="001B0FAC" w:rsidRPr="00C36F8B" w:rsidRDefault="003E789C" w:rsidP="00D968C9">
      <w:pPr>
        <w:numPr>
          <w:ilvl w:val="0"/>
          <w:numId w:val="8"/>
        </w:numPr>
        <w:spacing w:before="100" w:beforeAutospacing="1" w:after="120"/>
        <w:jc w:val="both"/>
        <w:rPr>
          <w:rFonts w:asciiTheme="minorHAnsi" w:hAnsiTheme="minorHAnsi"/>
          <w:iCs/>
          <w:lang w:eastAsia="pl-PL"/>
        </w:rPr>
      </w:pPr>
      <w:r w:rsidRPr="00C36F8B">
        <w:rPr>
          <w:rFonts w:asciiTheme="minorHAnsi" w:hAnsiTheme="minorHAnsi"/>
        </w:rPr>
        <w:t>D</w:t>
      </w:r>
      <w:r w:rsidR="005F757E" w:rsidRPr="00C36F8B">
        <w:rPr>
          <w:rFonts w:asciiTheme="minorHAnsi" w:hAnsiTheme="minorHAnsi"/>
        </w:rPr>
        <w:t xml:space="preserve">okumentacja aplikacyjna złożona przez </w:t>
      </w:r>
      <w:r w:rsidR="0093346D" w:rsidRPr="00C36F8B">
        <w:rPr>
          <w:rFonts w:asciiTheme="minorHAnsi" w:hAnsiTheme="minorHAnsi"/>
        </w:rPr>
        <w:t>podmiot ubiegający</w:t>
      </w:r>
      <w:r w:rsidR="005F757E" w:rsidRPr="00C36F8B">
        <w:rPr>
          <w:rFonts w:asciiTheme="minorHAnsi" w:hAnsiTheme="minorHAnsi"/>
        </w:rPr>
        <w:t xml:space="preserve"> się o Jednostkową Pożyczkę, w tym wniosek</w:t>
      </w:r>
      <w:r w:rsidR="00950B5D" w:rsidRPr="00C36F8B">
        <w:rPr>
          <w:rFonts w:asciiTheme="minorHAnsi" w:hAnsiTheme="minorHAnsi"/>
        </w:rPr>
        <w:t xml:space="preserve"> o udzielenie </w:t>
      </w:r>
      <w:r w:rsidR="00545F48" w:rsidRPr="00C36F8B">
        <w:rPr>
          <w:rFonts w:asciiTheme="minorHAnsi" w:hAnsiTheme="minorHAnsi"/>
        </w:rPr>
        <w:t>Jednostkowej P</w:t>
      </w:r>
      <w:r w:rsidR="007462EC" w:rsidRPr="00C36F8B">
        <w:rPr>
          <w:rFonts w:asciiTheme="minorHAnsi" w:hAnsiTheme="minorHAnsi"/>
        </w:rPr>
        <w:t>ożyczki</w:t>
      </w:r>
      <w:r w:rsidR="00FC0B52" w:rsidRPr="00C36F8B">
        <w:rPr>
          <w:rFonts w:asciiTheme="minorHAnsi" w:hAnsiTheme="minorHAnsi"/>
        </w:rPr>
        <w:t xml:space="preserve"> (dalej: Wniosek)</w:t>
      </w:r>
      <w:r w:rsidR="005F757E" w:rsidRPr="00C36F8B">
        <w:rPr>
          <w:rFonts w:asciiTheme="minorHAnsi" w:hAnsiTheme="minorHAnsi"/>
        </w:rPr>
        <w:t>, biznes plan lub dokument równoważny</w:t>
      </w:r>
      <w:r w:rsidR="000830D5" w:rsidRPr="00C36F8B">
        <w:rPr>
          <w:rFonts w:asciiTheme="minorHAnsi" w:hAnsiTheme="minorHAnsi"/>
        </w:rPr>
        <w:t>,</w:t>
      </w:r>
      <w:r w:rsidRPr="00C36F8B">
        <w:rPr>
          <w:rFonts w:asciiTheme="minorHAnsi" w:hAnsiTheme="minorHAnsi"/>
        </w:rPr>
        <w:t xml:space="preserve"> powinna</w:t>
      </w:r>
      <w:r w:rsidR="00C875B5" w:rsidRPr="00C36F8B">
        <w:rPr>
          <w:rFonts w:asciiTheme="minorHAnsi" w:hAnsiTheme="minorHAnsi"/>
        </w:rPr>
        <w:t xml:space="preserve"> jednoznacznie wskazywać na typ</w:t>
      </w:r>
      <w:r w:rsidR="00F76C5D" w:rsidRPr="00C36F8B">
        <w:rPr>
          <w:rFonts w:asciiTheme="minorHAnsi" w:hAnsiTheme="minorHAnsi"/>
        </w:rPr>
        <w:t xml:space="preserve"> </w:t>
      </w:r>
      <w:r w:rsidR="00C875B5" w:rsidRPr="00C36F8B">
        <w:rPr>
          <w:rFonts w:asciiTheme="minorHAnsi" w:hAnsiTheme="minorHAnsi"/>
        </w:rPr>
        <w:t>Inwestycji Końcowej będąc</w:t>
      </w:r>
      <w:r w:rsidR="00000564" w:rsidRPr="00C36F8B">
        <w:rPr>
          <w:rFonts w:asciiTheme="minorHAnsi" w:hAnsiTheme="minorHAnsi"/>
        </w:rPr>
        <w:t>y</w:t>
      </w:r>
      <w:r w:rsidR="00C875B5" w:rsidRPr="00C36F8B">
        <w:rPr>
          <w:rFonts w:asciiTheme="minorHAnsi" w:hAnsiTheme="minorHAnsi"/>
        </w:rPr>
        <w:t xml:space="preserve"> przedmiotem finansowania oraz powinna</w:t>
      </w:r>
      <w:r w:rsidR="009C0963" w:rsidRPr="00C36F8B">
        <w:rPr>
          <w:rFonts w:asciiTheme="minorHAnsi" w:hAnsiTheme="minorHAnsi"/>
        </w:rPr>
        <w:t xml:space="preserve"> być przygotowana w sposób umożliwiający</w:t>
      </w:r>
      <w:r w:rsidR="00974413" w:rsidRPr="00C36F8B">
        <w:rPr>
          <w:rFonts w:asciiTheme="minorHAnsi" w:hAnsiTheme="minorHAnsi"/>
        </w:rPr>
        <w:t xml:space="preserve"> P</w:t>
      </w:r>
      <w:r w:rsidR="00DE42A0">
        <w:rPr>
          <w:rFonts w:asciiTheme="minorHAnsi" w:hAnsiTheme="minorHAnsi"/>
        </w:rPr>
        <w:t xml:space="preserve">ożyczkodawcy </w:t>
      </w:r>
      <w:r w:rsidR="00974413" w:rsidRPr="00C36F8B">
        <w:rPr>
          <w:rFonts w:asciiTheme="minorHAnsi" w:hAnsiTheme="minorHAnsi"/>
        </w:rPr>
        <w:t xml:space="preserve">dokonanie oceny </w:t>
      </w:r>
      <w:r w:rsidR="009A29E0" w:rsidRPr="00C36F8B">
        <w:rPr>
          <w:rFonts w:asciiTheme="minorHAnsi" w:hAnsiTheme="minorHAnsi"/>
        </w:rPr>
        <w:t xml:space="preserve">zgodności </w:t>
      </w:r>
      <w:r w:rsidR="00172E83" w:rsidRPr="00C36F8B">
        <w:rPr>
          <w:rFonts w:asciiTheme="minorHAnsi" w:hAnsiTheme="minorHAnsi"/>
        </w:rPr>
        <w:t xml:space="preserve">przedmiotu i </w:t>
      </w:r>
      <w:r w:rsidR="00974413" w:rsidRPr="00C36F8B">
        <w:rPr>
          <w:rFonts w:asciiTheme="minorHAnsi" w:hAnsiTheme="minorHAnsi"/>
        </w:rPr>
        <w:t>cel</w:t>
      </w:r>
      <w:r w:rsidR="009A29E0" w:rsidRPr="00C36F8B">
        <w:rPr>
          <w:rFonts w:asciiTheme="minorHAnsi" w:hAnsiTheme="minorHAnsi"/>
        </w:rPr>
        <w:t>u</w:t>
      </w:r>
      <w:r w:rsidR="00974413" w:rsidRPr="00C36F8B">
        <w:rPr>
          <w:rFonts w:asciiTheme="minorHAnsi" w:hAnsiTheme="minorHAnsi"/>
        </w:rPr>
        <w:t xml:space="preserve"> planowanej </w:t>
      </w:r>
      <w:r w:rsidR="0063616F" w:rsidRPr="00C36F8B">
        <w:rPr>
          <w:rFonts w:asciiTheme="minorHAnsi" w:hAnsiTheme="minorHAnsi"/>
        </w:rPr>
        <w:t>I</w:t>
      </w:r>
      <w:r w:rsidR="00974413" w:rsidRPr="00C36F8B">
        <w:rPr>
          <w:rFonts w:asciiTheme="minorHAnsi" w:hAnsiTheme="minorHAnsi"/>
        </w:rPr>
        <w:t>nwestycji</w:t>
      </w:r>
      <w:r w:rsidR="0063616F" w:rsidRPr="00C36F8B">
        <w:rPr>
          <w:rFonts w:asciiTheme="minorHAnsi" w:hAnsiTheme="minorHAnsi"/>
        </w:rPr>
        <w:t xml:space="preserve"> Końcowej</w:t>
      </w:r>
      <w:r w:rsidR="009A29E0" w:rsidRPr="00C36F8B">
        <w:rPr>
          <w:rFonts w:asciiTheme="minorHAnsi" w:hAnsiTheme="minorHAnsi"/>
        </w:rPr>
        <w:t xml:space="preserve"> z </w:t>
      </w:r>
      <w:r w:rsidR="00064EE7" w:rsidRPr="00C36F8B">
        <w:rPr>
          <w:rFonts w:asciiTheme="minorHAnsi" w:hAnsiTheme="minorHAnsi"/>
        </w:rPr>
        <w:t xml:space="preserve">tym </w:t>
      </w:r>
      <w:r w:rsidR="009A29E0" w:rsidRPr="00C36F8B">
        <w:rPr>
          <w:rFonts w:asciiTheme="minorHAnsi" w:hAnsiTheme="minorHAnsi"/>
        </w:rPr>
        <w:t>typem</w:t>
      </w:r>
      <w:r w:rsidR="00843345">
        <w:rPr>
          <w:rFonts w:asciiTheme="minorHAnsi" w:hAnsiTheme="minorHAnsi"/>
        </w:rPr>
        <w:t xml:space="preserve">. </w:t>
      </w:r>
    </w:p>
    <w:p w14:paraId="2B557428" w14:textId="18B71141" w:rsidR="003F2A2A" w:rsidRPr="00C36F8B" w:rsidRDefault="00DE42A0" w:rsidP="00D968C9">
      <w:pPr>
        <w:numPr>
          <w:ilvl w:val="0"/>
          <w:numId w:val="8"/>
        </w:numPr>
        <w:spacing w:before="40" w:after="120"/>
        <w:jc w:val="both"/>
        <w:rPr>
          <w:rFonts w:asciiTheme="minorHAnsi" w:hAnsiTheme="minorHAnsi"/>
          <w:iCs/>
          <w:lang w:eastAsia="pl-PL"/>
        </w:rPr>
      </w:pPr>
      <w:r w:rsidRPr="00C36F8B">
        <w:rPr>
          <w:rFonts w:asciiTheme="minorHAnsi" w:hAnsiTheme="minorHAnsi"/>
          <w:iCs/>
          <w:lang w:eastAsia="pl-PL"/>
        </w:rPr>
        <w:t>P</w:t>
      </w:r>
      <w:r>
        <w:rPr>
          <w:rFonts w:asciiTheme="minorHAnsi" w:hAnsiTheme="minorHAnsi"/>
          <w:iCs/>
          <w:lang w:eastAsia="pl-PL"/>
        </w:rPr>
        <w:t xml:space="preserve">ożyczkodawca </w:t>
      </w:r>
      <w:r w:rsidR="003F2A2A" w:rsidRPr="00C36F8B">
        <w:rPr>
          <w:rFonts w:asciiTheme="minorHAnsi" w:hAnsiTheme="minorHAnsi"/>
          <w:iCs/>
          <w:lang w:eastAsia="pl-PL"/>
        </w:rPr>
        <w:t>zapewnia, aby</w:t>
      </w:r>
      <w:r w:rsidR="00FA6EC0" w:rsidRPr="00C36F8B">
        <w:rPr>
          <w:rFonts w:asciiTheme="minorHAnsi" w:hAnsiTheme="minorHAnsi"/>
          <w:iCs/>
          <w:lang w:eastAsia="pl-PL"/>
        </w:rPr>
        <w:t xml:space="preserve"> zapisy Umowy Inwestycyjnej </w:t>
      </w:r>
      <w:r w:rsidR="001A2567" w:rsidRPr="00C36F8B">
        <w:rPr>
          <w:rFonts w:asciiTheme="minorHAnsi" w:hAnsiTheme="minorHAnsi"/>
          <w:iCs/>
          <w:lang w:eastAsia="pl-PL"/>
        </w:rPr>
        <w:t>dotyczące</w:t>
      </w:r>
      <w:r w:rsidR="003F2A2A" w:rsidRPr="00C36F8B">
        <w:rPr>
          <w:rFonts w:asciiTheme="minorHAnsi" w:hAnsiTheme="minorHAnsi"/>
          <w:iCs/>
          <w:lang w:eastAsia="pl-PL"/>
        </w:rPr>
        <w:t xml:space="preserve"> przedmiot</w:t>
      </w:r>
      <w:r w:rsidR="00FA6EC0" w:rsidRPr="00C36F8B">
        <w:rPr>
          <w:rFonts w:asciiTheme="minorHAnsi" w:hAnsiTheme="minorHAnsi"/>
          <w:iCs/>
          <w:lang w:eastAsia="pl-PL"/>
        </w:rPr>
        <w:t>u</w:t>
      </w:r>
      <w:r w:rsidR="001A2567" w:rsidRPr="00C36F8B">
        <w:rPr>
          <w:rFonts w:asciiTheme="minorHAnsi" w:hAnsiTheme="minorHAnsi"/>
          <w:iCs/>
          <w:lang w:eastAsia="pl-PL"/>
        </w:rPr>
        <w:t>, zakresu</w:t>
      </w:r>
      <w:r w:rsidR="00FA6EC0" w:rsidRPr="00C36F8B">
        <w:rPr>
          <w:rFonts w:asciiTheme="minorHAnsi" w:hAnsiTheme="minorHAnsi"/>
          <w:iCs/>
          <w:lang w:eastAsia="pl-PL"/>
        </w:rPr>
        <w:t xml:space="preserve"> i celu</w:t>
      </w:r>
      <w:r w:rsidR="003F2A2A" w:rsidRPr="00C36F8B">
        <w:rPr>
          <w:rFonts w:asciiTheme="minorHAnsi" w:hAnsiTheme="minorHAnsi"/>
          <w:iCs/>
          <w:lang w:eastAsia="pl-PL"/>
        </w:rPr>
        <w:t xml:space="preserve"> finansowania</w:t>
      </w:r>
      <w:r w:rsidR="00FA6EC0" w:rsidRPr="00C36F8B">
        <w:rPr>
          <w:rFonts w:asciiTheme="minorHAnsi" w:hAnsiTheme="minorHAnsi"/>
          <w:iCs/>
          <w:lang w:eastAsia="pl-PL"/>
        </w:rPr>
        <w:t xml:space="preserve"> </w:t>
      </w:r>
      <w:r w:rsidR="001A2567" w:rsidRPr="00C36F8B">
        <w:rPr>
          <w:rFonts w:asciiTheme="minorHAnsi" w:hAnsiTheme="minorHAnsi"/>
          <w:iCs/>
          <w:lang w:eastAsia="pl-PL"/>
        </w:rPr>
        <w:t>były jednoznaczne i zgodne z informacjami przedstawionymi na ten temat</w:t>
      </w:r>
      <w:r w:rsidR="003F2A2A" w:rsidRPr="00C36F8B">
        <w:rPr>
          <w:rFonts w:asciiTheme="minorHAnsi" w:hAnsiTheme="minorHAnsi"/>
          <w:iCs/>
          <w:lang w:eastAsia="pl-PL"/>
        </w:rPr>
        <w:t xml:space="preserve"> we </w:t>
      </w:r>
      <w:r w:rsidR="00BE3BBB" w:rsidRPr="00C36F8B">
        <w:rPr>
          <w:rFonts w:asciiTheme="minorHAnsi" w:hAnsiTheme="minorHAnsi"/>
          <w:iCs/>
          <w:lang w:eastAsia="pl-PL"/>
        </w:rPr>
        <w:t>Wniosku</w:t>
      </w:r>
      <w:r w:rsidR="003F2A2A" w:rsidRPr="00C36F8B">
        <w:rPr>
          <w:rFonts w:asciiTheme="minorHAnsi" w:hAnsiTheme="minorHAnsi"/>
          <w:iCs/>
          <w:lang w:eastAsia="pl-PL"/>
        </w:rPr>
        <w:t>, biznes pl</w:t>
      </w:r>
      <w:r w:rsidR="008A4B0C" w:rsidRPr="00C36F8B">
        <w:rPr>
          <w:rFonts w:asciiTheme="minorHAnsi" w:hAnsiTheme="minorHAnsi"/>
          <w:iCs/>
          <w:lang w:eastAsia="pl-PL"/>
        </w:rPr>
        <w:t>anie lub dokumencie równoważnym.</w:t>
      </w:r>
    </w:p>
    <w:p w14:paraId="0855EF43" w14:textId="1C79D7D0" w:rsidR="00217FE7" w:rsidRPr="006A2766" w:rsidRDefault="0043189E" w:rsidP="00D968C9">
      <w:pPr>
        <w:numPr>
          <w:ilvl w:val="0"/>
          <w:numId w:val="8"/>
        </w:numPr>
        <w:spacing w:before="40" w:after="120"/>
        <w:jc w:val="both"/>
        <w:rPr>
          <w:rFonts w:asciiTheme="minorHAnsi" w:hAnsiTheme="minorHAnsi"/>
          <w:iCs/>
          <w:lang w:eastAsia="pl-PL"/>
        </w:rPr>
      </w:pPr>
      <w:r w:rsidRPr="006A2766">
        <w:rPr>
          <w:rFonts w:asciiTheme="minorHAnsi" w:hAnsiTheme="minorHAnsi"/>
          <w:iCs/>
          <w:lang w:eastAsia="pl-PL"/>
        </w:rPr>
        <w:t>W przypadku zamiaru zmiany zakresu rzeczowego Inwestycji Końcowej</w:t>
      </w:r>
      <w:r w:rsidR="00147AAF" w:rsidRPr="006A2766">
        <w:rPr>
          <w:rFonts w:asciiTheme="minorHAnsi" w:hAnsiTheme="minorHAnsi"/>
          <w:iCs/>
          <w:lang w:eastAsia="pl-PL"/>
        </w:rPr>
        <w:t>,</w:t>
      </w:r>
      <w:r w:rsidRPr="006A2766">
        <w:rPr>
          <w:rFonts w:asciiTheme="minorHAnsi" w:hAnsiTheme="minorHAnsi"/>
          <w:iCs/>
          <w:lang w:eastAsia="pl-PL"/>
        </w:rPr>
        <w:t xml:space="preserve"> </w:t>
      </w:r>
      <w:r w:rsidR="00147AAF" w:rsidRPr="006A2766">
        <w:rPr>
          <w:rFonts w:asciiTheme="minorHAnsi" w:hAnsiTheme="minorHAnsi"/>
          <w:iCs/>
          <w:lang w:eastAsia="pl-PL"/>
        </w:rPr>
        <w:t>o ile zmiana ta</w:t>
      </w:r>
      <w:r w:rsidR="007C3034" w:rsidRPr="006A2766">
        <w:rPr>
          <w:rFonts w:asciiTheme="minorHAnsi" w:hAnsiTheme="minorHAnsi"/>
          <w:iCs/>
          <w:lang w:eastAsia="pl-PL"/>
        </w:rPr>
        <w:t xml:space="preserve"> </w:t>
      </w:r>
      <w:r w:rsidR="000E0B1C" w:rsidRPr="006A2766">
        <w:rPr>
          <w:rFonts w:asciiTheme="minorHAnsi" w:hAnsiTheme="minorHAnsi"/>
          <w:iCs/>
          <w:lang w:eastAsia="pl-PL"/>
        </w:rPr>
        <w:t>jest zgodna z Typem Inwestycji Końcowej oraz</w:t>
      </w:r>
      <w:r w:rsidR="00147AAF" w:rsidRPr="006A2766">
        <w:rPr>
          <w:rFonts w:asciiTheme="minorHAnsi" w:hAnsiTheme="minorHAnsi"/>
          <w:iCs/>
          <w:lang w:eastAsia="pl-PL"/>
        </w:rPr>
        <w:t xml:space="preserve"> </w:t>
      </w:r>
      <w:r w:rsidR="008D244F" w:rsidRPr="006A2766">
        <w:rPr>
          <w:rFonts w:asciiTheme="minorHAnsi" w:hAnsiTheme="minorHAnsi"/>
          <w:iCs/>
          <w:lang w:eastAsia="pl-PL"/>
        </w:rPr>
        <w:t xml:space="preserve">nie spowoduje rozszerzenia </w:t>
      </w:r>
      <w:r w:rsidR="0024331E" w:rsidRPr="006A2766">
        <w:rPr>
          <w:rFonts w:asciiTheme="minorHAnsi" w:hAnsiTheme="minorHAnsi"/>
          <w:iCs/>
          <w:lang w:eastAsia="pl-PL"/>
        </w:rPr>
        <w:t xml:space="preserve">jej </w:t>
      </w:r>
      <w:r w:rsidR="008D244F" w:rsidRPr="006A2766">
        <w:rPr>
          <w:rFonts w:asciiTheme="minorHAnsi" w:hAnsiTheme="minorHAnsi"/>
          <w:iCs/>
          <w:lang w:eastAsia="pl-PL"/>
        </w:rPr>
        <w:t xml:space="preserve">zakresu poza </w:t>
      </w:r>
      <w:r w:rsidR="0024331E" w:rsidRPr="006A2766">
        <w:rPr>
          <w:rFonts w:asciiTheme="minorHAnsi" w:hAnsiTheme="minorHAnsi"/>
          <w:iCs/>
          <w:lang w:eastAsia="pl-PL"/>
        </w:rPr>
        <w:t>przeznaczenia finansowania</w:t>
      </w:r>
      <w:r w:rsidR="00AF07AB" w:rsidRPr="006A2766">
        <w:rPr>
          <w:rFonts w:asciiTheme="minorHAnsi" w:hAnsiTheme="minorHAnsi"/>
          <w:iCs/>
          <w:lang w:eastAsia="pl-PL"/>
        </w:rPr>
        <w:t xml:space="preserve"> </w:t>
      </w:r>
      <w:r w:rsidR="008D244F" w:rsidRPr="006A2766">
        <w:rPr>
          <w:rFonts w:asciiTheme="minorHAnsi" w:hAnsiTheme="minorHAnsi"/>
          <w:iCs/>
          <w:lang w:eastAsia="pl-PL"/>
        </w:rPr>
        <w:t xml:space="preserve">wskazane w pkt </w:t>
      </w:r>
      <w:r w:rsidR="00B75A5A" w:rsidRPr="006A2766">
        <w:rPr>
          <w:rFonts w:asciiTheme="minorHAnsi" w:hAnsiTheme="minorHAnsi"/>
          <w:iCs/>
          <w:lang w:eastAsia="pl-PL"/>
        </w:rPr>
        <w:t>2</w:t>
      </w:r>
      <w:r w:rsidR="008D244F" w:rsidRPr="006A2766">
        <w:rPr>
          <w:rFonts w:asciiTheme="minorHAnsi" w:hAnsiTheme="minorHAnsi"/>
          <w:iCs/>
          <w:lang w:eastAsia="pl-PL"/>
        </w:rPr>
        <w:t xml:space="preserve"> ppkt 1-5</w:t>
      </w:r>
      <w:r w:rsidR="00147AAF" w:rsidRPr="006A2766">
        <w:rPr>
          <w:rFonts w:asciiTheme="minorHAnsi" w:hAnsiTheme="minorHAnsi"/>
          <w:iCs/>
          <w:lang w:eastAsia="pl-PL"/>
        </w:rPr>
        <w:t xml:space="preserve">, </w:t>
      </w:r>
      <w:r w:rsidR="002A1F7A">
        <w:rPr>
          <w:rFonts w:asciiTheme="minorHAnsi" w:hAnsiTheme="minorHAnsi"/>
          <w:iCs/>
          <w:lang w:eastAsia="pl-PL"/>
        </w:rPr>
        <w:t>Pożyczkobiorca</w:t>
      </w:r>
      <w:r w:rsidR="00217FE7" w:rsidRPr="006A2766">
        <w:rPr>
          <w:rFonts w:asciiTheme="minorHAnsi" w:hAnsiTheme="minorHAnsi"/>
          <w:iCs/>
          <w:lang w:eastAsia="pl-PL"/>
        </w:rPr>
        <w:t xml:space="preserve"> </w:t>
      </w:r>
      <w:r w:rsidRPr="006A2766">
        <w:rPr>
          <w:rFonts w:asciiTheme="minorHAnsi" w:hAnsiTheme="minorHAnsi"/>
          <w:iCs/>
          <w:lang w:eastAsia="pl-PL"/>
        </w:rPr>
        <w:t>składa</w:t>
      </w:r>
      <w:r w:rsidR="00217FE7" w:rsidRPr="006A2766">
        <w:rPr>
          <w:rFonts w:asciiTheme="minorHAnsi" w:hAnsiTheme="minorHAnsi"/>
          <w:iCs/>
          <w:lang w:eastAsia="pl-PL"/>
        </w:rPr>
        <w:t xml:space="preserve"> </w:t>
      </w:r>
      <w:r w:rsidRPr="006A2766">
        <w:rPr>
          <w:rFonts w:asciiTheme="minorHAnsi" w:hAnsiTheme="minorHAnsi"/>
          <w:iCs/>
          <w:lang w:eastAsia="pl-PL"/>
        </w:rPr>
        <w:t>stosowny wniosek</w:t>
      </w:r>
      <w:r w:rsidR="00147AAF" w:rsidRPr="006A2766">
        <w:rPr>
          <w:rFonts w:asciiTheme="minorHAnsi" w:hAnsiTheme="minorHAnsi"/>
          <w:iCs/>
          <w:lang w:eastAsia="pl-PL"/>
        </w:rPr>
        <w:t xml:space="preserve"> o</w:t>
      </w:r>
      <w:r w:rsidR="00BA3D1E" w:rsidRPr="006A2766">
        <w:rPr>
          <w:rFonts w:asciiTheme="minorHAnsi" w:hAnsiTheme="minorHAnsi"/>
          <w:iCs/>
          <w:lang w:eastAsia="pl-PL"/>
        </w:rPr>
        <w:t> </w:t>
      </w:r>
      <w:r w:rsidR="00147AAF" w:rsidRPr="006A2766">
        <w:rPr>
          <w:rFonts w:asciiTheme="minorHAnsi" w:hAnsiTheme="minorHAnsi"/>
          <w:iCs/>
          <w:lang w:eastAsia="pl-PL"/>
        </w:rPr>
        <w:t xml:space="preserve"> akceptację zmiany</w:t>
      </w:r>
      <w:r w:rsidR="00964E20" w:rsidRPr="006A2766">
        <w:rPr>
          <w:rFonts w:asciiTheme="minorHAnsi" w:hAnsiTheme="minorHAnsi"/>
          <w:iCs/>
          <w:lang w:eastAsia="pl-PL"/>
        </w:rPr>
        <w:t>,</w:t>
      </w:r>
      <w:r w:rsidR="00217FE7" w:rsidRPr="006A2766">
        <w:rPr>
          <w:rFonts w:asciiTheme="minorHAnsi" w:hAnsiTheme="minorHAnsi"/>
          <w:iCs/>
          <w:lang w:eastAsia="pl-PL"/>
        </w:rPr>
        <w:t xml:space="preserve"> </w:t>
      </w:r>
      <w:r w:rsidR="00B60702" w:rsidRPr="006A2766">
        <w:rPr>
          <w:rFonts w:asciiTheme="minorHAnsi" w:hAnsiTheme="minorHAnsi"/>
          <w:iCs/>
          <w:lang w:eastAsia="pl-PL"/>
        </w:rPr>
        <w:t>a</w:t>
      </w:r>
      <w:r w:rsidR="00E62BF9">
        <w:rPr>
          <w:rFonts w:asciiTheme="minorHAnsi" w:hAnsiTheme="minorHAnsi"/>
          <w:iCs/>
          <w:lang w:eastAsia="pl-PL"/>
        </w:rPr>
        <w:t> </w:t>
      </w:r>
      <w:r w:rsidR="00EB037A" w:rsidRPr="006A2766">
        <w:rPr>
          <w:rFonts w:asciiTheme="minorHAnsi" w:hAnsiTheme="minorHAnsi"/>
          <w:iCs/>
          <w:lang w:eastAsia="pl-PL"/>
        </w:rPr>
        <w:t>P</w:t>
      </w:r>
      <w:r w:rsidR="002A1F7A">
        <w:rPr>
          <w:rFonts w:asciiTheme="minorHAnsi" w:hAnsiTheme="minorHAnsi"/>
          <w:iCs/>
          <w:lang w:eastAsia="pl-PL"/>
        </w:rPr>
        <w:t>ożyczkodawca</w:t>
      </w:r>
      <w:r w:rsidR="00B60702" w:rsidRPr="006A2766">
        <w:rPr>
          <w:rFonts w:asciiTheme="minorHAnsi" w:hAnsiTheme="minorHAnsi"/>
          <w:iCs/>
          <w:lang w:eastAsia="pl-PL"/>
        </w:rPr>
        <w:t xml:space="preserve"> zobowiązany jest taki wniosek rozpatrzyć. Jeżeli zmianą objęta jest rzecz lub usługa wyszczególniona w Umowie Inwestycyjnej, zmiana taka dokonywana jest w formie aneksu do Umowy Inwestycyjnej.</w:t>
      </w:r>
    </w:p>
    <w:p w14:paraId="75B5DCDF" w14:textId="04601793" w:rsidR="00FA4EFE" w:rsidRPr="00C36F8B" w:rsidRDefault="005F757E" w:rsidP="00D968C9">
      <w:pPr>
        <w:numPr>
          <w:ilvl w:val="0"/>
          <w:numId w:val="8"/>
        </w:numPr>
        <w:spacing w:before="40" w:after="120"/>
        <w:jc w:val="both"/>
        <w:rPr>
          <w:rFonts w:asciiTheme="minorHAnsi" w:hAnsiTheme="minorHAnsi"/>
          <w:iCs/>
          <w:lang w:eastAsia="pl-PL"/>
        </w:rPr>
      </w:pPr>
      <w:r w:rsidRPr="00C36F8B">
        <w:rPr>
          <w:rFonts w:asciiTheme="minorHAnsi" w:hAnsiTheme="minorHAnsi"/>
          <w:iCs/>
          <w:lang w:eastAsia="pl-PL"/>
        </w:rPr>
        <w:t xml:space="preserve">Jednostkowa Pożyczka może finansować do 100% wydatków w ramach </w:t>
      </w:r>
      <w:r w:rsidR="0097188B" w:rsidRPr="00C36F8B">
        <w:rPr>
          <w:rFonts w:asciiTheme="minorHAnsi" w:hAnsiTheme="minorHAnsi"/>
          <w:iCs/>
          <w:lang w:eastAsia="pl-PL"/>
        </w:rPr>
        <w:t>Inwestycji Końcowej</w:t>
      </w:r>
      <w:r w:rsidRPr="00C36F8B">
        <w:rPr>
          <w:rFonts w:asciiTheme="minorHAnsi" w:hAnsiTheme="minorHAnsi"/>
          <w:iCs/>
          <w:lang w:eastAsia="pl-PL"/>
        </w:rPr>
        <w:t>.</w:t>
      </w:r>
      <w:r w:rsidR="00ED3941" w:rsidRPr="00C36F8B">
        <w:rPr>
          <w:rFonts w:asciiTheme="minorHAnsi" w:hAnsiTheme="minorHAnsi"/>
          <w:iCs/>
          <w:lang w:eastAsia="pl-PL"/>
        </w:rPr>
        <w:t xml:space="preserve"> </w:t>
      </w:r>
      <w:bookmarkStart w:id="2" w:name="_Hlk160083763"/>
      <w:r w:rsidR="00ED3941" w:rsidRPr="00C36F8B">
        <w:rPr>
          <w:rFonts w:asciiTheme="minorHAnsi" w:hAnsiTheme="minorHAnsi"/>
          <w:iCs/>
          <w:lang w:eastAsia="pl-PL"/>
        </w:rPr>
        <w:t>Wydatki niekwalifikowalne w ramach Inwestycji Końcowej, tj. takie które nie mogą być finansowane z</w:t>
      </w:r>
      <w:r w:rsidR="00BA3D1E">
        <w:rPr>
          <w:rFonts w:asciiTheme="minorHAnsi" w:hAnsiTheme="minorHAnsi"/>
          <w:iCs/>
          <w:lang w:eastAsia="pl-PL"/>
        </w:rPr>
        <w:t> </w:t>
      </w:r>
      <w:r w:rsidR="00ED3941" w:rsidRPr="00C36F8B">
        <w:rPr>
          <w:rFonts w:asciiTheme="minorHAnsi" w:hAnsiTheme="minorHAnsi"/>
          <w:iCs/>
          <w:lang w:eastAsia="pl-PL"/>
        </w:rPr>
        <w:t xml:space="preserve">Jednostkowej Pożyczki, </w:t>
      </w:r>
      <w:r w:rsidR="007C1054" w:rsidRPr="00C36F8B">
        <w:rPr>
          <w:rFonts w:asciiTheme="minorHAnsi" w:hAnsiTheme="minorHAnsi"/>
          <w:iCs/>
          <w:lang w:eastAsia="pl-PL"/>
        </w:rPr>
        <w:t>są</w:t>
      </w:r>
      <w:r w:rsidR="00ED3941" w:rsidRPr="00C36F8B">
        <w:rPr>
          <w:rFonts w:asciiTheme="minorHAnsi" w:hAnsiTheme="minorHAnsi"/>
          <w:iCs/>
          <w:lang w:eastAsia="pl-PL"/>
        </w:rPr>
        <w:t xml:space="preserve"> </w:t>
      </w:r>
      <w:r w:rsidR="007C1054" w:rsidRPr="00C36F8B">
        <w:rPr>
          <w:rFonts w:asciiTheme="minorHAnsi" w:hAnsiTheme="minorHAnsi"/>
          <w:iCs/>
          <w:lang w:eastAsia="pl-PL"/>
        </w:rPr>
        <w:t xml:space="preserve">finansowane </w:t>
      </w:r>
      <w:r w:rsidR="00ED3941" w:rsidRPr="00C36F8B">
        <w:rPr>
          <w:rFonts w:asciiTheme="minorHAnsi" w:hAnsiTheme="minorHAnsi"/>
          <w:iCs/>
          <w:lang w:eastAsia="pl-PL"/>
        </w:rPr>
        <w:t xml:space="preserve">przez </w:t>
      </w:r>
      <w:r w:rsidR="00DE42A0">
        <w:rPr>
          <w:rFonts w:asciiTheme="minorHAnsi" w:hAnsiTheme="minorHAnsi"/>
          <w:iCs/>
          <w:lang w:eastAsia="pl-PL"/>
        </w:rPr>
        <w:t>Pożyczkobiorcę</w:t>
      </w:r>
      <w:r w:rsidR="00ED3941" w:rsidRPr="00C36F8B">
        <w:rPr>
          <w:rFonts w:asciiTheme="minorHAnsi" w:hAnsiTheme="minorHAnsi"/>
          <w:iCs/>
          <w:lang w:eastAsia="pl-PL"/>
        </w:rPr>
        <w:t>.</w:t>
      </w:r>
      <w:bookmarkEnd w:id="2"/>
    </w:p>
    <w:p w14:paraId="67B527DE" w14:textId="45887D9F" w:rsidR="006A7132" w:rsidRPr="00AE5E5C" w:rsidRDefault="00FF2137" w:rsidP="00D968C9">
      <w:pPr>
        <w:numPr>
          <w:ilvl w:val="0"/>
          <w:numId w:val="8"/>
        </w:numPr>
        <w:spacing w:before="40" w:after="120"/>
        <w:jc w:val="both"/>
        <w:rPr>
          <w:rFonts w:asciiTheme="minorHAnsi" w:hAnsiTheme="minorHAnsi"/>
          <w:iCs/>
          <w:lang w:eastAsia="pl-PL"/>
        </w:rPr>
      </w:pPr>
      <w:r w:rsidRPr="00AE5E5C">
        <w:rPr>
          <w:rFonts w:asciiTheme="minorHAnsi" w:hAnsiTheme="minorHAnsi"/>
          <w:iCs/>
          <w:lang w:eastAsia="pl-PL"/>
        </w:rPr>
        <w:t>Jednostkowa Pożyczka finansuje wydatki w kwotach brutto, tj. z podatkiem VAT</w:t>
      </w:r>
      <w:r w:rsidR="006975FD" w:rsidRPr="00AE5E5C">
        <w:rPr>
          <w:rFonts w:asciiTheme="minorHAnsi" w:hAnsiTheme="minorHAnsi"/>
          <w:iCs/>
          <w:lang w:eastAsia="pl-PL"/>
        </w:rPr>
        <w:t xml:space="preserve">, z zastrzeżeniem </w:t>
      </w:r>
      <w:r w:rsidR="00814B6D" w:rsidRPr="00AE5E5C">
        <w:rPr>
          <w:rFonts w:asciiTheme="minorHAnsi" w:hAnsiTheme="minorHAnsi"/>
          <w:iCs/>
          <w:lang w:eastAsia="pl-PL"/>
        </w:rPr>
        <w:t>pkt</w:t>
      </w:r>
      <w:r w:rsidR="00BB72AA">
        <w:rPr>
          <w:rFonts w:asciiTheme="minorHAnsi" w:hAnsiTheme="minorHAnsi"/>
          <w:iCs/>
          <w:lang w:eastAsia="pl-PL"/>
        </w:rPr>
        <w:t xml:space="preserve"> </w:t>
      </w:r>
      <w:r w:rsidR="00DE1A87">
        <w:rPr>
          <w:rFonts w:asciiTheme="minorHAnsi" w:hAnsiTheme="minorHAnsi"/>
          <w:iCs/>
          <w:lang w:eastAsia="pl-PL"/>
        </w:rPr>
        <w:t xml:space="preserve">12 </w:t>
      </w:r>
      <w:r w:rsidR="007F7521">
        <w:rPr>
          <w:rFonts w:asciiTheme="minorHAnsi" w:hAnsiTheme="minorHAnsi"/>
          <w:iCs/>
          <w:lang w:eastAsia="pl-PL"/>
        </w:rPr>
        <w:t>i</w:t>
      </w:r>
      <w:r w:rsidR="0002286C">
        <w:rPr>
          <w:rFonts w:asciiTheme="minorHAnsi" w:hAnsiTheme="minorHAnsi"/>
          <w:iCs/>
          <w:lang w:eastAsia="pl-PL"/>
        </w:rPr>
        <w:t> </w:t>
      </w:r>
      <w:r w:rsidR="00DE1A87">
        <w:rPr>
          <w:rFonts w:asciiTheme="minorHAnsi" w:hAnsiTheme="minorHAnsi"/>
          <w:iCs/>
          <w:lang w:eastAsia="pl-PL"/>
        </w:rPr>
        <w:t>13</w:t>
      </w:r>
      <w:r w:rsidR="00E87C79" w:rsidRPr="00AE5E5C">
        <w:rPr>
          <w:rFonts w:asciiTheme="minorHAnsi" w:hAnsiTheme="minorHAnsi"/>
          <w:iCs/>
          <w:lang w:eastAsia="pl-PL"/>
        </w:rPr>
        <w:t>.</w:t>
      </w:r>
    </w:p>
    <w:p w14:paraId="1C52CFC3" w14:textId="49E55EE9" w:rsidR="006A7132" w:rsidRPr="00C36F8B" w:rsidRDefault="007433CB" w:rsidP="00D968C9">
      <w:pPr>
        <w:numPr>
          <w:ilvl w:val="0"/>
          <w:numId w:val="8"/>
        </w:numPr>
        <w:spacing w:before="40" w:after="120"/>
        <w:ind w:left="62" w:hanging="357"/>
        <w:jc w:val="both"/>
        <w:rPr>
          <w:rFonts w:asciiTheme="minorHAnsi" w:hAnsiTheme="minorHAnsi"/>
        </w:rPr>
      </w:pPr>
      <w:r w:rsidRPr="00C36F8B">
        <w:rPr>
          <w:rFonts w:asciiTheme="minorHAnsi" w:hAnsiTheme="minorHAnsi"/>
          <w:iCs/>
          <w:lang w:eastAsia="pl-PL"/>
        </w:rPr>
        <w:t>Dopuszczalność finansowania</w:t>
      </w:r>
      <w:r w:rsidR="007F2244" w:rsidRPr="00C36F8B">
        <w:rPr>
          <w:rFonts w:asciiTheme="minorHAnsi" w:hAnsiTheme="minorHAnsi"/>
          <w:iCs/>
          <w:lang w:eastAsia="pl-PL"/>
        </w:rPr>
        <w:t xml:space="preserve"> podatku VAT</w:t>
      </w:r>
      <w:r w:rsidRPr="00C36F8B">
        <w:rPr>
          <w:rFonts w:asciiTheme="minorHAnsi" w:hAnsiTheme="minorHAnsi"/>
          <w:iCs/>
          <w:lang w:eastAsia="pl-PL"/>
        </w:rPr>
        <w:t xml:space="preserve"> w ramach Jednostkowych Pożyczek</w:t>
      </w:r>
      <w:r w:rsidR="007F2244" w:rsidRPr="00C36F8B">
        <w:rPr>
          <w:rFonts w:asciiTheme="minorHAnsi" w:hAnsiTheme="minorHAnsi"/>
          <w:iCs/>
          <w:lang w:eastAsia="pl-PL"/>
        </w:rPr>
        <w:t xml:space="preserve"> może podlegać dodatkowym ograniczeniom wynikającym z zasad udzielania pomocy publicznej.</w:t>
      </w:r>
    </w:p>
    <w:p w14:paraId="63F6A053" w14:textId="1E7763CF" w:rsidR="009F04BE" w:rsidRDefault="00A35927" w:rsidP="00D968C9">
      <w:pPr>
        <w:pStyle w:val="Akapitzlist"/>
        <w:numPr>
          <w:ilvl w:val="0"/>
          <w:numId w:val="8"/>
        </w:numPr>
        <w:jc w:val="both"/>
        <w:rPr>
          <w:rFonts w:asciiTheme="minorHAnsi" w:hAnsiTheme="minorHAnsi"/>
          <w:iCs/>
          <w:lang w:eastAsia="pl-PL"/>
        </w:rPr>
      </w:pPr>
      <w:r w:rsidRPr="00C36F8B">
        <w:rPr>
          <w:rFonts w:asciiTheme="minorHAnsi" w:hAnsiTheme="minorHAnsi"/>
          <w:iCs/>
          <w:lang w:eastAsia="pl-PL"/>
        </w:rPr>
        <w:t xml:space="preserve">W przypadku łączenia </w:t>
      </w:r>
      <w:r w:rsidR="00FC30B2" w:rsidRPr="00C36F8B">
        <w:rPr>
          <w:rFonts w:asciiTheme="minorHAnsi" w:hAnsiTheme="minorHAnsi"/>
          <w:iCs/>
          <w:lang w:eastAsia="pl-PL"/>
        </w:rPr>
        <w:t>Jednostkowych Pożyczek</w:t>
      </w:r>
      <w:r w:rsidRPr="00C36F8B">
        <w:rPr>
          <w:rFonts w:asciiTheme="minorHAnsi" w:hAnsiTheme="minorHAnsi"/>
          <w:iCs/>
          <w:lang w:eastAsia="pl-PL"/>
        </w:rPr>
        <w:t xml:space="preserve"> z innym finansowaniem, należy przestrzegać</w:t>
      </w:r>
      <w:r w:rsidR="004E1450" w:rsidRPr="00C36F8B">
        <w:rPr>
          <w:rFonts w:asciiTheme="minorHAnsi" w:hAnsiTheme="minorHAnsi"/>
          <w:iCs/>
          <w:lang w:eastAsia="pl-PL"/>
        </w:rPr>
        <w:t xml:space="preserve"> </w:t>
      </w:r>
      <w:r w:rsidRPr="00C36F8B">
        <w:rPr>
          <w:rFonts w:asciiTheme="minorHAnsi" w:hAnsiTheme="minorHAnsi"/>
          <w:iCs/>
          <w:lang w:eastAsia="pl-PL"/>
        </w:rPr>
        <w:t>zasad określonych w sekcji</w:t>
      </w:r>
      <w:r w:rsidR="004E1450" w:rsidRPr="00C36F8B">
        <w:rPr>
          <w:rFonts w:asciiTheme="minorHAnsi" w:hAnsiTheme="minorHAnsi"/>
          <w:iCs/>
          <w:lang w:eastAsia="pl-PL"/>
        </w:rPr>
        <w:t xml:space="preserve"> 3.9.3 Wytycznych dotyczących kwalifikowalności wydatków</w:t>
      </w:r>
      <w:r w:rsidR="006558FF" w:rsidRPr="00C36F8B">
        <w:rPr>
          <w:rFonts w:asciiTheme="minorHAnsi" w:hAnsiTheme="minorHAnsi"/>
          <w:iCs/>
          <w:lang w:eastAsia="pl-PL"/>
        </w:rPr>
        <w:t xml:space="preserve"> na lata 2021 - 2027</w:t>
      </w:r>
      <w:r w:rsidR="004E1450" w:rsidRPr="00C36F8B">
        <w:rPr>
          <w:rFonts w:asciiTheme="minorHAnsi" w:hAnsiTheme="minorHAnsi"/>
          <w:iCs/>
          <w:lang w:eastAsia="pl-PL"/>
        </w:rPr>
        <w:t xml:space="preserve"> oraz właściwych przepisów dotyczących pomocy publicznej</w:t>
      </w:r>
      <w:r w:rsidR="00361601" w:rsidRPr="00C36F8B">
        <w:rPr>
          <w:rFonts w:asciiTheme="minorHAnsi" w:hAnsiTheme="minorHAnsi"/>
          <w:iCs/>
          <w:lang w:eastAsia="pl-PL"/>
        </w:rPr>
        <w:t>.</w:t>
      </w:r>
    </w:p>
    <w:p w14:paraId="4894B939" w14:textId="1F7679C7" w:rsidR="00774594" w:rsidRPr="00774594" w:rsidRDefault="00774594" w:rsidP="00D968C9">
      <w:pPr>
        <w:pStyle w:val="Nagwek1"/>
        <w:numPr>
          <w:ilvl w:val="0"/>
          <w:numId w:val="5"/>
        </w:numPr>
      </w:pPr>
      <w:r w:rsidRPr="00774594">
        <w:t xml:space="preserve">Cesja wierzytelności i zabezpieczeń </w:t>
      </w:r>
    </w:p>
    <w:p w14:paraId="0C92A46A" w14:textId="3CA9089C" w:rsidR="00774594" w:rsidRPr="00D968C9" w:rsidRDefault="00774594" w:rsidP="00D968C9">
      <w:pPr>
        <w:pStyle w:val="Akapitzlist"/>
        <w:numPr>
          <w:ilvl w:val="0"/>
          <w:numId w:val="19"/>
        </w:numPr>
        <w:spacing w:after="120"/>
        <w:ind w:left="62" w:hanging="357"/>
        <w:contextualSpacing w:val="0"/>
        <w:jc w:val="both"/>
        <w:rPr>
          <w:rFonts w:asciiTheme="minorHAnsi" w:hAnsiTheme="minorHAnsi"/>
          <w:iCs/>
          <w:lang w:eastAsia="pl-PL"/>
        </w:rPr>
      </w:pPr>
      <w:r w:rsidRPr="00D968C9">
        <w:rPr>
          <w:rFonts w:asciiTheme="minorHAnsi" w:hAnsiTheme="minorHAnsi"/>
          <w:iCs/>
          <w:lang w:eastAsia="pl-PL"/>
        </w:rPr>
        <w:t xml:space="preserve">Pożyczkobiorca przyjmuje do wiadomości, że Pożyczkodawca dokonał przelewu na rzecz Banku Gospodarstwa Krajowego wierzytelności Pożyczkodawcy z tytułu zawartej przez Pożyczkobiorcę umowy pożyczki oraz ustanowionych przez niego zabezpieczeń. </w:t>
      </w:r>
    </w:p>
    <w:p w14:paraId="70BA2EC7" w14:textId="29F48015" w:rsidR="00774594" w:rsidRPr="00D968C9" w:rsidRDefault="00774594" w:rsidP="00D968C9">
      <w:pPr>
        <w:pStyle w:val="Akapitzlist"/>
        <w:numPr>
          <w:ilvl w:val="0"/>
          <w:numId w:val="19"/>
        </w:numPr>
        <w:spacing w:after="120"/>
        <w:ind w:left="62" w:hanging="357"/>
        <w:contextualSpacing w:val="0"/>
        <w:jc w:val="both"/>
        <w:rPr>
          <w:rFonts w:asciiTheme="minorHAnsi" w:hAnsiTheme="minorHAnsi"/>
          <w:iCs/>
          <w:lang w:eastAsia="pl-PL"/>
        </w:rPr>
      </w:pPr>
      <w:r w:rsidRPr="00D968C9">
        <w:rPr>
          <w:rFonts w:asciiTheme="minorHAnsi" w:hAnsiTheme="minorHAnsi"/>
          <w:iCs/>
          <w:lang w:eastAsia="pl-PL"/>
        </w:rPr>
        <w:t xml:space="preserve">Przelew wierzytelności Pożyczkobiorcy na rzecz Banku Gospodarstwa Krajowego dokonany został z tzw. warunkiem zawieszającym, tj. skutek prawny tego przelewu, wystąpi z chwilą zajścia okoliczności określonych w umowie zawartej pomiędzy Pożyczkodawcą a Bankiem Gospodarstwa Krajowego, o czym </w:t>
      </w:r>
      <w:r w:rsidRPr="00D968C9">
        <w:rPr>
          <w:rFonts w:asciiTheme="minorHAnsi" w:hAnsiTheme="minorHAnsi"/>
          <w:iCs/>
          <w:lang w:eastAsia="pl-PL"/>
        </w:rPr>
        <w:lastRenderedPageBreak/>
        <w:t>Pożyczkobiorca poinformowany zostanie przez Pożyczkodawcę lub przez Bank Gospodarstwa Krajowego w</w:t>
      </w:r>
      <w:r w:rsidR="006033BF">
        <w:rPr>
          <w:rFonts w:asciiTheme="minorHAnsi" w:hAnsiTheme="minorHAnsi"/>
          <w:iCs/>
          <w:lang w:eastAsia="pl-PL"/>
        </w:rPr>
        <w:t> </w:t>
      </w:r>
      <w:r w:rsidRPr="00D968C9">
        <w:rPr>
          <w:rFonts w:asciiTheme="minorHAnsi" w:hAnsiTheme="minorHAnsi"/>
          <w:iCs/>
          <w:lang w:eastAsia="pl-PL"/>
        </w:rPr>
        <w:t xml:space="preserve">drodze pisemnej. </w:t>
      </w:r>
    </w:p>
    <w:p w14:paraId="31A171F1" w14:textId="0B2E39C6" w:rsidR="00774594" w:rsidRPr="00D968C9" w:rsidRDefault="00774594" w:rsidP="00D968C9">
      <w:pPr>
        <w:pStyle w:val="Akapitzlist"/>
        <w:numPr>
          <w:ilvl w:val="0"/>
          <w:numId w:val="19"/>
        </w:numPr>
        <w:spacing w:after="120"/>
        <w:ind w:left="62" w:hanging="357"/>
        <w:contextualSpacing w:val="0"/>
        <w:jc w:val="both"/>
        <w:rPr>
          <w:rFonts w:asciiTheme="minorHAnsi" w:hAnsiTheme="minorHAnsi"/>
          <w:iCs/>
          <w:lang w:eastAsia="pl-PL"/>
        </w:rPr>
      </w:pPr>
      <w:r w:rsidRPr="00D968C9">
        <w:rPr>
          <w:rFonts w:asciiTheme="minorHAnsi" w:hAnsiTheme="minorHAnsi"/>
          <w:iCs/>
          <w:lang w:eastAsia="pl-PL"/>
        </w:rPr>
        <w:t xml:space="preserve">Zawiadomienie, o którym mowa w ust. 2 powyżej, zawierało będzie informacje dotyczące w szczególności obowiązku spłaty przez Pożyczkobiorcę rat kapitałowych i odsetek wynikających z harmonogramu spłat jak i innych płatności wynikających z umowy pożyczki, na nowy rachunek wskazany przez Bank Gospodarstwa Krajowego. </w:t>
      </w:r>
    </w:p>
    <w:p w14:paraId="199D08E3" w14:textId="000CCDAF" w:rsidR="00774594" w:rsidRPr="00D968C9" w:rsidRDefault="00774594" w:rsidP="00D968C9">
      <w:pPr>
        <w:pStyle w:val="Akapitzlist"/>
        <w:numPr>
          <w:ilvl w:val="0"/>
          <w:numId w:val="19"/>
        </w:numPr>
        <w:spacing w:after="120"/>
        <w:ind w:left="62" w:hanging="357"/>
        <w:contextualSpacing w:val="0"/>
        <w:jc w:val="both"/>
        <w:rPr>
          <w:rFonts w:asciiTheme="minorHAnsi" w:hAnsiTheme="minorHAnsi"/>
          <w:iCs/>
          <w:lang w:eastAsia="pl-PL"/>
        </w:rPr>
      </w:pPr>
      <w:r w:rsidRPr="00D968C9">
        <w:rPr>
          <w:rFonts w:asciiTheme="minorHAnsi" w:hAnsiTheme="minorHAnsi"/>
          <w:iCs/>
          <w:lang w:eastAsia="pl-PL"/>
        </w:rPr>
        <w:t xml:space="preserve">Bank Gospodarstwa Krajowego ma prawo do dokonania dalszych przelewów wymienionych powyżej wierzytelności wraz z zabezpieczeniami na inny podmiot. </w:t>
      </w:r>
    </w:p>
    <w:p w14:paraId="0771827F" w14:textId="7F5A5FF5" w:rsidR="001D1C13" w:rsidRPr="0072012A" w:rsidRDefault="001D1C13" w:rsidP="00D968C9">
      <w:pPr>
        <w:pStyle w:val="Nagwek1"/>
        <w:numPr>
          <w:ilvl w:val="0"/>
          <w:numId w:val="5"/>
        </w:numPr>
      </w:pPr>
      <w:r w:rsidRPr="0072012A">
        <w:t>Wykluczenia</w:t>
      </w:r>
      <w:r w:rsidR="00985517" w:rsidRPr="0072012A">
        <w:t xml:space="preserve"> i ograniczenia w finansowaniu</w:t>
      </w:r>
    </w:p>
    <w:p w14:paraId="4F948D8D" w14:textId="3C5EBFD3" w:rsidR="00985517" w:rsidRDefault="001D1C13" w:rsidP="00D968C9">
      <w:pPr>
        <w:numPr>
          <w:ilvl w:val="0"/>
          <w:numId w:val="9"/>
        </w:numPr>
        <w:spacing w:before="40" w:after="120"/>
        <w:jc w:val="both"/>
        <w:rPr>
          <w:rFonts w:asciiTheme="minorHAnsi" w:hAnsiTheme="minorHAnsi"/>
          <w:iCs/>
          <w:lang w:eastAsia="pl-PL"/>
        </w:rPr>
      </w:pPr>
      <w:r w:rsidRPr="0072012A">
        <w:rPr>
          <w:rFonts w:asciiTheme="minorHAnsi" w:hAnsiTheme="minorHAnsi"/>
          <w:iCs/>
          <w:lang w:eastAsia="pl-PL"/>
        </w:rPr>
        <w:t xml:space="preserve">Środki z Jednostkowej Pożyczki </w:t>
      </w:r>
      <w:r w:rsidR="00985517" w:rsidRPr="0072012A">
        <w:rPr>
          <w:rFonts w:asciiTheme="minorHAnsi" w:hAnsiTheme="minorHAnsi"/>
          <w:iCs/>
          <w:lang w:eastAsia="pl-PL"/>
        </w:rPr>
        <w:t>nie mogą być przeznaczone na:</w:t>
      </w:r>
    </w:p>
    <w:p w14:paraId="3248CFD4" w14:textId="77777777" w:rsidR="0072012A" w:rsidRPr="00C36F8B" w:rsidRDefault="0072012A" w:rsidP="00D968C9">
      <w:pPr>
        <w:pStyle w:val="Akapitzlist"/>
        <w:numPr>
          <w:ilvl w:val="0"/>
          <w:numId w:val="1"/>
        </w:numPr>
        <w:spacing w:after="120" w:line="23" w:lineRule="atLeast"/>
        <w:ind w:left="993" w:hanging="426"/>
        <w:contextualSpacing w:val="0"/>
        <w:jc w:val="both"/>
        <w:rPr>
          <w:rFonts w:asciiTheme="minorHAnsi" w:hAnsiTheme="minorHAnsi"/>
        </w:rPr>
      </w:pPr>
      <w:r w:rsidRPr="00C36F8B">
        <w:rPr>
          <w:rFonts w:asciiTheme="minorHAnsi" w:hAnsiTheme="minorHAnsi"/>
        </w:rPr>
        <w:t>wydatki i inwestycje objęte wyłączeniem ze wsparcia z Europejskiego Funduszu Rozwoju Regionalnego, wskazanym w art. 7 ust. 1 Rozporządzenia EFRR;</w:t>
      </w:r>
    </w:p>
    <w:p w14:paraId="2E59CEDC" w14:textId="77777777" w:rsidR="0072012A" w:rsidRPr="00C36F8B" w:rsidRDefault="0072012A" w:rsidP="00D968C9">
      <w:pPr>
        <w:pStyle w:val="Akapitzlist"/>
        <w:numPr>
          <w:ilvl w:val="0"/>
          <w:numId w:val="1"/>
        </w:numPr>
        <w:spacing w:after="120" w:line="23" w:lineRule="atLeast"/>
        <w:ind w:left="993" w:hanging="426"/>
        <w:contextualSpacing w:val="0"/>
        <w:jc w:val="both"/>
        <w:rPr>
          <w:rFonts w:asciiTheme="minorHAnsi" w:hAnsiTheme="minorHAnsi"/>
        </w:rPr>
      </w:pPr>
      <w:r w:rsidRPr="00C36F8B">
        <w:rPr>
          <w:rFonts w:asciiTheme="minorHAnsi" w:hAnsiTheme="minorHAnsi"/>
        </w:rPr>
        <w:t>wydatki wspierające przeniesienie produkcji, o którym mowa w art. 66 Rozporządzenia Ogólnego;</w:t>
      </w:r>
    </w:p>
    <w:p w14:paraId="46619567" w14:textId="77777777" w:rsidR="0072012A" w:rsidRPr="00C36F8B" w:rsidRDefault="0072012A" w:rsidP="00D968C9">
      <w:pPr>
        <w:pStyle w:val="Akapitzlist"/>
        <w:numPr>
          <w:ilvl w:val="0"/>
          <w:numId w:val="1"/>
        </w:numPr>
        <w:spacing w:after="120" w:line="23" w:lineRule="atLeast"/>
        <w:ind w:left="993" w:hanging="426"/>
        <w:contextualSpacing w:val="0"/>
        <w:jc w:val="both"/>
        <w:rPr>
          <w:rFonts w:asciiTheme="minorHAnsi" w:hAnsiTheme="minorHAnsi"/>
        </w:rPr>
      </w:pPr>
      <w:r w:rsidRPr="00C36F8B">
        <w:rPr>
          <w:rFonts w:asciiTheme="minorHAnsi" w:hAnsiTheme="minorHAnsi"/>
        </w:rPr>
        <w:t>spłatę odsetek od zadłużenia, o których mowa w art. 64 ust. 1 lit. a Rozporządzenia Ogólnego;</w:t>
      </w:r>
    </w:p>
    <w:p w14:paraId="28AD7533" w14:textId="49191A17" w:rsidR="0072012A" w:rsidRPr="00C36F8B" w:rsidRDefault="0072012A" w:rsidP="00D968C9">
      <w:pPr>
        <w:pStyle w:val="Akapitzlist"/>
        <w:numPr>
          <w:ilvl w:val="0"/>
          <w:numId w:val="1"/>
        </w:numPr>
        <w:spacing w:after="120" w:line="23" w:lineRule="atLeast"/>
        <w:ind w:left="993" w:hanging="426"/>
        <w:contextualSpacing w:val="0"/>
        <w:jc w:val="both"/>
        <w:rPr>
          <w:rFonts w:asciiTheme="minorHAnsi" w:hAnsiTheme="minorHAnsi"/>
        </w:rPr>
      </w:pPr>
      <w:r w:rsidRPr="00C36F8B">
        <w:rPr>
          <w:rFonts w:asciiTheme="minorHAnsi" w:hAnsiTheme="minorHAnsi"/>
        </w:rPr>
        <w:t xml:space="preserve">prefinansowanie wydatków, w części, na którą </w:t>
      </w:r>
      <w:r w:rsidR="002A1F7A">
        <w:rPr>
          <w:rFonts w:asciiTheme="minorHAnsi" w:hAnsiTheme="minorHAnsi"/>
        </w:rPr>
        <w:t>Pożyczkobiorca</w:t>
      </w:r>
      <w:r w:rsidRPr="00C36F8B">
        <w:rPr>
          <w:rFonts w:asciiTheme="minorHAnsi" w:hAnsiTheme="minorHAnsi"/>
        </w:rPr>
        <w:t xml:space="preserve"> otrzymał dofinansowanie w</w:t>
      </w:r>
      <w:r>
        <w:rPr>
          <w:rFonts w:asciiTheme="minorHAnsi" w:hAnsiTheme="minorHAnsi"/>
        </w:rPr>
        <w:t> </w:t>
      </w:r>
      <w:r w:rsidRPr="00C36F8B">
        <w:rPr>
          <w:rFonts w:asciiTheme="minorHAnsi" w:hAnsiTheme="minorHAnsi"/>
        </w:rPr>
        <w:t>formie dotacji;</w:t>
      </w:r>
    </w:p>
    <w:p w14:paraId="2175E4C5" w14:textId="3AD8A184" w:rsidR="0072012A" w:rsidRPr="00C36F8B" w:rsidRDefault="0072012A" w:rsidP="00D968C9">
      <w:pPr>
        <w:pStyle w:val="Akapitzlist"/>
        <w:numPr>
          <w:ilvl w:val="0"/>
          <w:numId w:val="1"/>
        </w:numPr>
        <w:spacing w:after="120" w:line="23" w:lineRule="atLeast"/>
        <w:ind w:left="993" w:hanging="426"/>
        <w:contextualSpacing w:val="0"/>
        <w:jc w:val="both"/>
        <w:rPr>
          <w:rFonts w:asciiTheme="minorHAnsi" w:hAnsiTheme="minorHAnsi"/>
        </w:rPr>
      </w:pPr>
      <w:r w:rsidRPr="00C36F8B">
        <w:rPr>
          <w:rFonts w:asciiTheme="minorHAnsi" w:hAnsiTheme="minorHAnsi"/>
        </w:rPr>
        <w:t xml:space="preserve">refinansowanie pożyczek, kredytów, leasingu lub innych form finansowania, z których korzysta </w:t>
      </w:r>
      <w:r w:rsidR="002A1F7A">
        <w:rPr>
          <w:rFonts w:asciiTheme="minorHAnsi" w:hAnsiTheme="minorHAnsi"/>
        </w:rPr>
        <w:t>Pożyczkobiorca</w:t>
      </w:r>
      <w:r w:rsidRPr="00C36F8B">
        <w:rPr>
          <w:rFonts w:asciiTheme="minorHAnsi" w:hAnsiTheme="minorHAnsi"/>
        </w:rPr>
        <w:t>;</w:t>
      </w:r>
    </w:p>
    <w:p w14:paraId="42D618BB" w14:textId="77777777" w:rsidR="0072012A" w:rsidRPr="00CF5B49" w:rsidRDefault="0072012A" w:rsidP="00D968C9">
      <w:pPr>
        <w:pStyle w:val="Akapitzlist"/>
        <w:numPr>
          <w:ilvl w:val="0"/>
          <w:numId w:val="1"/>
        </w:numPr>
        <w:spacing w:after="120" w:line="23" w:lineRule="atLeast"/>
        <w:ind w:left="993" w:hanging="426"/>
        <w:contextualSpacing w:val="0"/>
        <w:jc w:val="both"/>
        <w:rPr>
          <w:rFonts w:asciiTheme="minorHAnsi" w:hAnsiTheme="minorHAnsi"/>
        </w:rPr>
      </w:pPr>
      <w:r w:rsidRPr="00CF5B49">
        <w:rPr>
          <w:rFonts w:asciiTheme="minorHAnsi" w:hAnsiTheme="minorHAnsi"/>
        </w:rPr>
        <w:t>finansowanie zakupu aktywów finansowych przeznaczonych do obrotu lub lokowania kapitału;</w:t>
      </w:r>
    </w:p>
    <w:p w14:paraId="59936498" w14:textId="05E82323" w:rsidR="0072012A" w:rsidRPr="0072012A" w:rsidRDefault="0072012A" w:rsidP="00D968C9">
      <w:pPr>
        <w:pStyle w:val="Akapitzlist"/>
        <w:numPr>
          <w:ilvl w:val="0"/>
          <w:numId w:val="1"/>
        </w:numPr>
        <w:spacing w:after="120" w:line="23" w:lineRule="atLeast"/>
        <w:ind w:left="993" w:hanging="426"/>
        <w:contextualSpacing w:val="0"/>
        <w:jc w:val="both"/>
        <w:rPr>
          <w:rFonts w:asciiTheme="minorHAnsi" w:hAnsiTheme="minorHAnsi"/>
        </w:rPr>
      </w:pPr>
      <w:r w:rsidRPr="00CF5B49">
        <w:rPr>
          <w:rFonts w:asciiTheme="minorHAnsi" w:hAnsiTheme="minorHAnsi"/>
        </w:rPr>
        <w:t>finansowanie zakupu nieruchomości</w:t>
      </w:r>
      <w:r>
        <w:rPr>
          <w:rFonts w:asciiTheme="minorHAnsi" w:hAnsiTheme="minorHAnsi"/>
        </w:rPr>
        <w:t>.</w:t>
      </w:r>
    </w:p>
    <w:p w14:paraId="75475D34" w14:textId="678B1E1A" w:rsidR="00465AF8" w:rsidRDefault="002A1F7A" w:rsidP="00D968C9">
      <w:pPr>
        <w:numPr>
          <w:ilvl w:val="0"/>
          <w:numId w:val="9"/>
        </w:numPr>
        <w:spacing w:before="40" w:after="120"/>
        <w:jc w:val="both"/>
        <w:rPr>
          <w:rFonts w:asciiTheme="minorHAnsi" w:hAnsiTheme="minorHAnsi"/>
        </w:rPr>
      </w:pPr>
      <w:r>
        <w:rPr>
          <w:rFonts w:asciiTheme="minorHAnsi" w:hAnsiTheme="minorHAnsi"/>
          <w:iCs/>
          <w:lang w:eastAsia="pl-PL"/>
        </w:rPr>
        <w:t>Pożyczkobiorca</w:t>
      </w:r>
      <w:r w:rsidR="00C61F94" w:rsidRPr="00C36F8B">
        <w:rPr>
          <w:rFonts w:asciiTheme="minorHAnsi" w:hAnsiTheme="minorHAnsi"/>
          <w:iCs/>
          <w:lang w:eastAsia="pl-PL"/>
        </w:rPr>
        <w:t xml:space="preserve"> nie może doprowadzić do wystąpienia przypadku </w:t>
      </w:r>
      <w:r w:rsidR="00276339" w:rsidRPr="00C36F8B">
        <w:rPr>
          <w:rFonts w:asciiTheme="minorHAnsi" w:hAnsiTheme="minorHAnsi"/>
          <w:iCs/>
          <w:lang w:eastAsia="pl-PL"/>
        </w:rPr>
        <w:t xml:space="preserve">więcej niż jednokrotnego </w:t>
      </w:r>
      <w:r w:rsidR="00C61F94" w:rsidRPr="00C36F8B">
        <w:rPr>
          <w:rFonts w:asciiTheme="minorHAnsi" w:hAnsiTheme="minorHAnsi"/>
          <w:iCs/>
          <w:lang w:eastAsia="pl-PL"/>
        </w:rPr>
        <w:t xml:space="preserve">– całkowitego albo częściowego – </w:t>
      </w:r>
      <w:r w:rsidR="007A6855" w:rsidRPr="00C36F8B">
        <w:rPr>
          <w:rFonts w:asciiTheme="minorHAnsi" w:hAnsiTheme="minorHAnsi"/>
          <w:iCs/>
          <w:lang w:eastAsia="pl-PL"/>
        </w:rPr>
        <w:t>s</w:t>
      </w:r>
      <w:r w:rsidR="00C61F94" w:rsidRPr="00C36F8B">
        <w:rPr>
          <w:rFonts w:asciiTheme="minorHAnsi" w:hAnsiTheme="minorHAnsi"/>
          <w:iCs/>
          <w:lang w:eastAsia="pl-PL"/>
        </w:rPr>
        <w:t>finansowania wydatków</w:t>
      </w:r>
      <w:r w:rsidR="00242EEF" w:rsidRPr="00C36F8B">
        <w:rPr>
          <w:rFonts w:asciiTheme="minorHAnsi" w:hAnsiTheme="minorHAnsi"/>
          <w:iCs/>
          <w:lang w:eastAsia="pl-PL"/>
        </w:rPr>
        <w:t xml:space="preserve"> </w:t>
      </w:r>
      <w:r>
        <w:rPr>
          <w:rFonts w:asciiTheme="minorHAnsi" w:hAnsiTheme="minorHAnsi"/>
          <w:iCs/>
          <w:lang w:eastAsia="pl-PL"/>
        </w:rPr>
        <w:t>Pożyczkobiorcy</w:t>
      </w:r>
      <w:r w:rsidR="00C61F94" w:rsidRPr="00C36F8B">
        <w:rPr>
          <w:rFonts w:asciiTheme="minorHAnsi" w:hAnsiTheme="minorHAnsi"/>
          <w:iCs/>
          <w:lang w:eastAsia="pl-PL"/>
        </w:rPr>
        <w:t xml:space="preserve"> </w:t>
      </w:r>
      <w:r w:rsidR="00276339" w:rsidRPr="00C36F8B">
        <w:rPr>
          <w:rFonts w:asciiTheme="minorHAnsi" w:hAnsiTheme="minorHAnsi"/>
          <w:iCs/>
          <w:lang w:eastAsia="pl-PL"/>
        </w:rPr>
        <w:t xml:space="preserve">przedstawianych do rozliczenia Jednostkowej Pożyczki </w:t>
      </w:r>
      <w:r w:rsidR="00C05732" w:rsidRPr="00C36F8B">
        <w:rPr>
          <w:rFonts w:asciiTheme="minorHAnsi" w:hAnsiTheme="minorHAnsi"/>
          <w:iCs/>
          <w:lang w:eastAsia="pl-PL"/>
        </w:rPr>
        <w:t>w ramach</w:t>
      </w:r>
      <w:r w:rsidR="00C0691B" w:rsidRPr="00C36F8B">
        <w:rPr>
          <w:rFonts w:asciiTheme="minorHAnsi" w:hAnsiTheme="minorHAnsi"/>
          <w:iCs/>
          <w:lang w:eastAsia="pl-PL"/>
        </w:rPr>
        <w:t xml:space="preserve"> tego samego lub</w:t>
      </w:r>
      <w:r w:rsidR="00C05732" w:rsidRPr="00C36F8B">
        <w:rPr>
          <w:rFonts w:asciiTheme="minorHAnsi" w:hAnsiTheme="minorHAnsi"/>
          <w:iCs/>
          <w:lang w:eastAsia="pl-PL"/>
        </w:rPr>
        <w:t xml:space="preserve"> różnych funduszy lub instrumentów wsparcia Unii Europejskiej</w:t>
      </w:r>
      <w:r w:rsidR="00D96020" w:rsidRPr="00C36F8B">
        <w:rPr>
          <w:rFonts w:asciiTheme="minorHAnsi" w:hAnsiTheme="minorHAnsi"/>
          <w:iCs/>
          <w:lang w:eastAsia="pl-PL"/>
        </w:rPr>
        <w:t xml:space="preserve">, </w:t>
      </w:r>
      <w:r w:rsidR="0096496D" w:rsidRPr="00C36F8B">
        <w:rPr>
          <w:rFonts w:asciiTheme="minorHAnsi" w:hAnsiTheme="minorHAnsi"/>
          <w:iCs/>
          <w:lang w:eastAsia="pl-PL"/>
        </w:rPr>
        <w:t>w</w:t>
      </w:r>
      <w:r w:rsidR="006033BF">
        <w:rPr>
          <w:rFonts w:asciiTheme="minorHAnsi" w:hAnsiTheme="minorHAnsi"/>
          <w:iCs/>
          <w:lang w:eastAsia="pl-PL"/>
        </w:rPr>
        <w:t> </w:t>
      </w:r>
      <w:r w:rsidR="0096496D" w:rsidRPr="00C36F8B">
        <w:rPr>
          <w:rFonts w:asciiTheme="minorHAnsi" w:hAnsiTheme="minorHAnsi"/>
          <w:iCs/>
          <w:lang w:eastAsia="pl-PL"/>
        </w:rPr>
        <w:t>jakiejkolwiek</w:t>
      </w:r>
      <w:r w:rsidR="0096496D" w:rsidRPr="00C36F8B">
        <w:rPr>
          <w:rFonts w:asciiTheme="minorHAnsi" w:hAnsiTheme="minorHAnsi"/>
        </w:rPr>
        <w:t xml:space="preserve"> formie (w </w:t>
      </w:r>
      <w:r w:rsidR="00C33744" w:rsidRPr="00C36F8B">
        <w:rPr>
          <w:rFonts w:asciiTheme="minorHAnsi" w:hAnsiTheme="minorHAnsi"/>
        </w:rPr>
        <w:t xml:space="preserve">tym </w:t>
      </w:r>
      <w:r w:rsidR="0096496D" w:rsidRPr="00C36F8B">
        <w:rPr>
          <w:rFonts w:asciiTheme="minorHAnsi" w:hAnsiTheme="minorHAnsi"/>
        </w:rPr>
        <w:t>dotacji, pożyczki, gwarancji/poręczenia).</w:t>
      </w:r>
    </w:p>
    <w:p w14:paraId="18575C4D" w14:textId="62BC0025" w:rsidR="001465A3" w:rsidRPr="008759D2" w:rsidRDefault="0067784B" w:rsidP="00D968C9">
      <w:pPr>
        <w:pStyle w:val="Nagwek1"/>
        <w:numPr>
          <w:ilvl w:val="0"/>
          <w:numId w:val="5"/>
        </w:numPr>
      </w:pPr>
      <w:r w:rsidRPr="008759D2">
        <w:t>Podstawowe</w:t>
      </w:r>
      <w:r w:rsidR="00A536FD" w:rsidRPr="008759D2">
        <w:t xml:space="preserve"> </w:t>
      </w:r>
      <w:r w:rsidR="005F3EAE" w:rsidRPr="008759D2">
        <w:t xml:space="preserve">zasady </w:t>
      </w:r>
      <w:r w:rsidR="001465A3" w:rsidRPr="008759D2">
        <w:t xml:space="preserve">udzielania </w:t>
      </w:r>
      <w:r w:rsidR="00AE7DAF" w:rsidRPr="008759D2">
        <w:t xml:space="preserve">Jednostkowej </w:t>
      </w:r>
      <w:r w:rsidR="00EE5106" w:rsidRPr="008759D2">
        <w:t>Pożyczki</w:t>
      </w:r>
    </w:p>
    <w:p w14:paraId="5F737B24" w14:textId="3E392A34" w:rsidR="001465A3" w:rsidRPr="001579EE" w:rsidRDefault="001465A3" w:rsidP="00D968C9">
      <w:pPr>
        <w:numPr>
          <w:ilvl w:val="0"/>
          <w:numId w:val="10"/>
        </w:numPr>
        <w:spacing w:before="40" w:after="120"/>
        <w:jc w:val="both"/>
        <w:rPr>
          <w:rFonts w:asciiTheme="minorHAnsi" w:hAnsiTheme="minorHAnsi"/>
          <w:iCs/>
          <w:lang w:eastAsia="pl-PL"/>
        </w:rPr>
      </w:pPr>
      <w:r w:rsidRPr="001579EE">
        <w:rPr>
          <w:rFonts w:asciiTheme="minorHAnsi" w:hAnsiTheme="minorHAnsi"/>
          <w:iCs/>
          <w:lang w:eastAsia="pl-PL"/>
        </w:rPr>
        <w:t xml:space="preserve">Udzielenie </w:t>
      </w:r>
      <w:r w:rsidR="00CC1E53" w:rsidRPr="001579EE">
        <w:rPr>
          <w:rFonts w:asciiTheme="minorHAnsi" w:hAnsiTheme="minorHAnsi"/>
          <w:iCs/>
          <w:lang w:eastAsia="pl-PL"/>
        </w:rPr>
        <w:t xml:space="preserve">Jednostkowej </w:t>
      </w:r>
      <w:r w:rsidR="00EE5106" w:rsidRPr="001579EE">
        <w:rPr>
          <w:rFonts w:asciiTheme="minorHAnsi" w:hAnsiTheme="minorHAnsi"/>
          <w:iCs/>
          <w:lang w:eastAsia="pl-PL"/>
        </w:rPr>
        <w:t>Pożyczki</w:t>
      </w:r>
      <w:r w:rsidRPr="001579EE">
        <w:rPr>
          <w:rFonts w:asciiTheme="minorHAnsi" w:hAnsiTheme="minorHAnsi"/>
          <w:iCs/>
          <w:lang w:eastAsia="pl-PL"/>
        </w:rPr>
        <w:t xml:space="preserve"> nie może być uzależnione od zawarcia przez </w:t>
      </w:r>
      <w:r w:rsidR="00DF1592">
        <w:rPr>
          <w:rFonts w:asciiTheme="minorHAnsi" w:hAnsiTheme="minorHAnsi"/>
          <w:iCs/>
          <w:lang w:eastAsia="pl-PL"/>
        </w:rPr>
        <w:t>Pożyczkobiorcę</w:t>
      </w:r>
      <w:r w:rsidRPr="001579EE">
        <w:rPr>
          <w:rFonts w:asciiTheme="minorHAnsi" w:hAnsiTheme="minorHAnsi"/>
          <w:iCs/>
          <w:lang w:eastAsia="pl-PL"/>
        </w:rPr>
        <w:t xml:space="preserve"> </w:t>
      </w:r>
      <w:r w:rsidR="00A94461" w:rsidRPr="001579EE">
        <w:rPr>
          <w:rFonts w:asciiTheme="minorHAnsi" w:hAnsiTheme="minorHAnsi"/>
          <w:iCs/>
          <w:lang w:eastAsia="pl-PL"/>
        </w:rPr>
        <w:t>z</w:t>
      </w:r>
      <w:r w:rsidR="006033BF">
        <w:rPr>
          <w:rFonts w:asciiTheme="minorHAnsi" w:hAnsiTheme="minorHAnsi"/>
          <w:iCs/>
          <w:lang w:eastAsia="pl-PL"/>
        </w:rPr>
        <w:t> </w:t>
      </w:r>
      <w:r w:rsidR="00DF1592">
        <w:rPr>
          <w:rFonts w:asciiTheme="minorHAnsi" w:hAnsiTheme="minorHAnsi"/>
          <w:iCs/>
          <w:lang w:eastAsia="pl-PL"/>
        </w:rPr>
        <w:t>Pożyczkodawcą</w:t>
      </w:r>
      <w:r w:rsidR="00621514" w:rsidRPr="001579EE">
        <w:rPr>
          <w:rFonts w:asciiTheme="minorHAnsi" w:hAnsiTheme="minorHAnsi"/>
          <w:iCs/>
          <w:lang w:eastAsia="pl-PL"/>
        </w:rPr>
        <w:t xml:space="preserve"> ani z</w:t>
      </w:r>
      <w:r w:rsidR="00A94461" w:rsidRPr="001579EE">
        <w:rPr>
          <w:rFonts w:asciiTheme="minorHAnsi" w:hAnsiTheme="minorHAnsi"/>
          <w:iCs/>
          <w:lang w:eastAsia="pl-PL"/>
        </w:rPr>
        <w:t xml:space="preserve"> </w:t>
      </w:r>
      <w:r w:rsidR="00121F2F" w:rsidRPr="001579EE">
        <w:rPr>
          <w:rFonts w:asciiTheme="minorHAnsi" w:hAnsiTheme="minorHAnsi"/>
          <w:iCs/>
          <w:lang w:eastAsia="pl-PL"/>
        </w:rPr>
        <w:t>podmiotem partnerskim lub powiązanym w stosunku do P</w:t>
      </w:r>
      <w:r w:rsidR="00DF1592">
        <w:rPr>
          <w:rFonts w:asciiTheme="minorHAnsi" w:hAnsiTheme="minorHAnsi"/>
          <w:iCs/>
          <w:lang w:eastAsia="pl-PL"/>
        </w:rPr>
        <w:t xml:space="preserve">ożyczkodawcy </w:t>
      </w:r>
      <w:r w:rsidRPr="001579EE">
        <w:rPr>
          <w:rFonts w:asciiTheme="minorHAnsi" w:hAnsiTheme="minorHAnsi"/>
          <w:iCs/>
          <w:lang w:eastAsia="pl-PL"/>
        </w:rPr>
        <w:t>dodatkowych umów</w:t>
      </w:r>
      <w:r w:rsidR="00121F2F" w:rsidRPr="001579EE">
        <w:rPr>
          <w:rFonts w:asciiTheme="minorHAnsi" w:hAnsiTheme="minorHAnsi"/>
          <w:iCs/>
          <w:lang w:eastAsia="pl-PL"/>
        </w:rPr>
        <w:t xml:space="preserve">, </w:t>
      </w:r>
      <w:r w:rsidRPr="001579EE">
        <w:rPr>
          <w:rFonts w:asciiTheme="minorHAnsi" w:hAnsiTheme="minorHAnsi"/>
          <w:iCs/>
          <w:lang w:eastAsia="pl-PL"/>
        </w:rPr>
        <w:t xml:space="preserve">w szczególności </w:t>
      </w:r>
      <w:r w:rsidR="00121F2F" w:rsidRPr="001579EE">
        <w:rPr>
          <w:rFonts w:asciiTheme="minorHAnsi" w:hAnsiTheme="minorHAnsi"/>
          <w:iCs/>
          <w:lang w:eastAsia="pl-PL"/>
        </w:rPr>
        <w:t xml:space="preserve">na </w:t>
      </w:r>
      <w:r w:rsidRPr="001579EE">
        <w:rPr>
          <w:rFonts w:asciiTheme="minorHAnsi" w:hAnsiTheme="minorHAnsi"/>
          <w:iCs/>
          <w:lang w:eastAsia="pl-PL"/>
        </w:rPr>
        <w:t>zakup dodatkowych usług</w:t>
      </w:r>
      <w:r w:rsidR="00EE07F6" w:rsidRPr="001579EE">
        <w:rPr>
          <w:rFonts w:asciiTheme="minorHAnsi" w:hAnsiTheme="minorHAnsi"/>
          <w:iCs/>
          <w:lang w:eastAsia="pl-PL"/>
        </w:rPr>
        <w:t xml:space="preserve">, </w:t>
      </w:r>
      <w:r w:rsidR="002612FF" w:rsidRPr="001579EE">
        <w:rPr>
          <w:rFonts w:asciiTheme="minorHAnsi" w:hAnsiTheme="minorHAnsi"/>
          <w:iCs/>
          <w:lang w:eastAsia="pl-PL"/>
        </w:rPr>
        <w:t>produktów finansowych lub ubezpieczeniowych</w:t>
      </w:r>
      <w:r w:rsidR="00121F2F" w:rsidRPr="001579EE">
        <w:rPr>
          <w:rFonts w:asciiTheme="minorHAnsi" w:hAnsiTheme="minorHAnsi"/>
          <w:iCs/>
          <w:lang w:eastAsia="pl-PL"/>
        </w:rPr>
        <w:t>.</w:t>
      </w:r>
      <w:r w:rsidRPr="001579EE">
        <w:rPr>
          <w:rFonts w:asciiTheme="minorHAnsi" w:hAnsiTheme="minorHAnsi"/>
          <w:iCs/>
          <w:lang w:eastAsia="pl-PL"/>
        </w:rPr>
        <w:t xml:space="preserve"> </w:t>
      </w:r>
      <w:r w:rsidR="00121F2F" w:rsidRPr="001579EE">
        <w:rPr>
          <w:rFonts w:asciiTheme="minorHAnsi" w:hAnsiTheme="minorHAnsi"/>
          <w:iCs/>
          <w:lang w:eastAsia="pl-PL"/>
        </w:rPr>
        <w:t>P</w:t>
      </w:r>
      <w:r w:rsidRPr="001579EE">
        <w:rPr>
          <w:rFonts w:asciiTheme="minorHAnsi" w:hAnsiTheme="minorHAnsi"/>
          <w:iCs/>
          <w:lang w:eastAsia="pl-PL"/>
        </w:rPr>
        <w:t xml:space="preserve">owyższe nie dotyczy </w:t>
      </w:r>
      <w:r w:rsidR="003408A3" w:rsidRPr="001579EE">
        <w:rPr>
          <w:rFonts w:asciiTheme="minorHAnsi" w:hAnsiTheme="minorHAnsi"/>
          <w:iCs/>
          <w:lang w:eastAsia="pl-PL"/>
        </w:rPr>
        <w:t xml:space="preserve">powszechnie występujących na rynku oraz standardowo stosowanych przez </w:t>
      </w:r>
      <w:r w:rsidR="00121F2F" w:rsidRPr="001579EE">
        <w:rPr>
          <w:rFonts w:asciiTheme="minorHAnsi" w:hAnsiTheme="minorHAnsi"/>
          <w:iCs/>
          <w:lang w:eastAsia="pl-PL"/>
        </w:rPr>
        <w:t>P</w:t>
      </w:r>
      <w:r w:rsidR="00DF1592">
        <w:rPr>
          <w:rFonts w:asciiTheme="minorHAnsi" w:hAnsiTheme="minorHAnsi"/>
          <w:iCs/>
          <w:lang w:eastAsia="pl-PL"/>
        </w:rPr>
        <w:t xml:space="preserve">ożyczkodawcę </w:t>
      </w:r>
      <w:r w:rsidRPr="001579EE">
        <w:rPr>
          <w:rFonts w:asciiTheme="minorHAnsi" w:hAnsiTheme="minorHAnsi"/>
          <w:iCs/>
          <w:lang w:eastAsia="pl-PL"/>
        </w:rPr>
        <w:t>zabezpieczeń</w:t>
      </w:r>
      <w:r w:rsidR="005370C6" w:rsidRPr="001579EE">
        <w:rPr>
          <w:rFonts w:asciiTheme="minorHAnsi" w:hAnsiTheme="minorHAnsi"/>
          <w:iCs/>
          <w:lang w:eastAsia="pl-PL"/>
        </w:rPr>
        <w:t>,</w:t>
      </w:r>
      <w:r w:rsidRPr="001579EE">
        <w:rPr>
          <w:rFonts w:asciiTheme="minorHAnsi" w:hAnsiTheme="minorHAnsi"/>
          <w:iCs/>
          <w:lang w:eastAsia="pl-PL"/>
        </w:rPr>
        <w:t xml:space="preserve"> ustanawianych przez </w:t>
      </w:r>
      <w:r w:rsidR="00DF1592">
        <w:rPr>
          <w:rFonts w:asciiTheme="minorHAnsi" w:hAnsiTheme="minorHAnsi"/>
          <w:iCs/>
          <w:lang w:eastAsia="pl-PL"/>
        </w:rPr>
        <w:t>Pożyczkobiorcę</w:t>
      </w:r>
      <w:r w:rsidRPr="001579EE">
        <w:rPr>
          <w:rFonts w:asciiTheme="minorHAnsi" w:hAnsiTheme="minorHAnsi"/>
          <w:iCs/>
          <w:lang w:eastAsia="pl-PL"/>
        </w:rPr>
        <w:t xml:space="preserve"> na rzecz </w:t>
      </w:r>
      <w:r w:rsidR="00121F2F" w:rsidRPr="001579EE">
        <w:rPr>
          <w:rFonts w:asciiTheme="minorHAnsi" w:hAnsiTheme="minorHAnsi"/>
          <w:iCs/>
          <w:lang w:eastAsia="pl-PL"/>
        </w:rPr>
        <w:t>P</w:t>
      </w:r>
      <w:r w:rsidR="00DF1592">
        <w:rPr>
          <w:rFonts w:asciiTheme="minorHAnsi" w:hAnsiTheme="minorHAnsi"/>
          <w:iCs/>
          <w:lang w:eastAsia="pl-PL"/>
        </w:rPr>
        <w:t xml:space="preserve">ożyczkodawcy </w:t>
      </w:r>
      <w:r w:rsidRPr="001579EE">
        <w:rPr>
          <w:rFonts w:asciiTheme="minorHAnsi" w:hAnsiTheme="minorHAnsi"/>
          <w:iCs/>
          <w:lang w:eastAsia="pl-PL"/>
        </w:rPr>
        <w:t xml:space="preserve">w związku z zawieraną </w:t>
      </w:r>
      <w:r w:rsidR="00121F2F" w:rsidRPr="001579EE">
        <w:rPr>
          <w:rFonts w:asciiTheme="minorHAnsi" w:hAnsiTheme="minorHAnsi"/>
          <w:iCs/>
          <w:lang w:eastAsia="pl-PL"/>
        </w:rPr>
        <w:t>Umową Inwestycyjną</w:t>
      </w:r>
      <w:r w:rsidR="00B904C3" w:rsidRPr="001579EE">
        <w:rPr>
          <w:rFonts w:asciiTheme="minorHAnsi" w:hAnsiTheme="minorHAnsi"/>
          <w:iCs/>
          <w:lang w:eastAsia="pl-PL"/>
        </w:rPr>
        <w:t>, z zastrzeżeniem, iż w</w:t>
      </w:r>
      <w:r w:rsidR="003D48A9" w:rsidRPr="001579EE">
        <w:rPr>
          <w:rFonts w:asciiTheme="minorHAnsi" w:hAnsiTheme="minorHAnsi"/>
          <w:iCs/>
          <w:lang w:eastAsia="pl-PL"/>
        </w:rPr>
        <w:t> </w:t>
      </w:r>
      <w:r w:rsidR="00B904C3" w:rsidRPr="001579EE">
        <w:rPr>
          <w:rFonts w:asciiTheme="minorHAnsi" w:hAnsiTheme="minorHAnsi"/>
          <w:iCs/>
          <w:lang w:eastAsia="pl-PL"/>
        </w:rPr>
        <w:t xml:space="preserve">przypadku zabezpieczenia takiego jak cesja praw z polisy ubezpieczeniowej </w:t>
      </w:r>
      <w:r w:rsidR="00DF1592">
        <w:rPr>
          <w:rFonts w:asciiTheme="minorHAnsi" w:hAnsiTheme="minorHAnsi"/>
          <w:iCs/>
          <w:lang w:eastAsia="pl-PL"/>
        </w:rPr>
        <w:t>Pożyczkodawca</w:t>
      </w:r>
      <w:r w:rsidR="00B904C3" w:rsidRPr="001579EE">
        <w:rPr>
          <w:rFonts w:asciiTheme="minorHAnsi" w:hAnsiTheme="minorHAnsi"/>
          <w:iCs/>
          <w:lang w:eastAsia="pl-PL"/>
        </w:rPr>
        <w:t xml:space="preserve"> ma możliwość wyboru oferty spośród ubezpieczycieli dostępnych na rynku.</w:t>
      </w:r>
    </w:p>
    <w:p w14:paraId="7CEAFCA3" w14:textId="54430103" w:rsidR="000A44F8" w:rsidRPr="001579EE" w:rsidRDefault="001465A3" w:rsidP="00D968C9">
      <w:pPr>
        <w:numPr>
          <w:ilvl w:val="0"/>
          <w:numId w:val="10"/>
        </w:numPr>
        <w:spacing w:before="40" w:after="120"/>
        <w:jc w:val="both"/>
        <w:rPr>
          <w:rFonts w:asciiTheme="minorHAnsi" w:hAnsiTheme="minorHAnsi"/>
          <w:iCs/>
          <w:lang w:eastAsia="pl-PL"/>
        </w:rPr>
      </w:pPr>
      <w:r w:rsidRPr="001579EE">
        <w:rPr>
          <w:rFonts w:asciiTheme="minorHAnsi" w:hAnsiTheme="minorHAnsi"/>
          <w:iCs/>
          <w:lang w:eastAsia="pl-PL"/>
        </w:rPr>
        <w:t xml:space="preserve">Wydatkowanie </w:t>
      </w:r>
      <w:r w:rsidR="00666326" w:rsidRPr="001579EE">
        <w:rPr>
          <w:rFonts w:asciiTheme="minorHAnsi" w:hAnsiTheme="minorHAnsi"/>
          <w:iCs/>
          <w:lang w:eastAsia="pl-PL"/>
        </w:rPr>
        <w:t xml:space="preserve">wszystkich </w:t>
      </w:r>
      <w:r w:rsidRPr="001579EE">
        <w:rPr>
          <w:rFonts w:asciiTheme="minorHAnsi" w:hAnsiTheme="minorHAnsi"/>
          <w:iCs/>
          <w:lang w:eastAsia="pl-PL"/>
        </w:rPr>
        <w:t xml:space="preserve">środków </w:t>
      </w:r>
      <w:r w:rsidR="00CC1E53" w:rsidRPr="001579EE">
        <w:rPr>
          <w:rFonts w:asciiTheme="minorHAnsi" w:hAnsiTheme="minorHAnsi"/>
          <w:iCs/>
          <w:lang w:eastAsia="pl-PL"/>
        </w:rPr>
        <w:t xml:space="preserve">Jednostkowej </w:t>
      </w:r>
      <w:r w:rsidR="00EE5106" w:rsidRPr="001579EE">
        <w:rPr>
          <w:rFonts w:asciiTheme="minorHAnsi" w:hAnsiTheme="minorHAnsi"/>
          <w:iCs/>
          <w:lang w:eastAsia="pl-PL"/>
        </w:rPr>
        <w:t>Pożyczki</w:t>
      </w:r>
      <w:r w:rsidR="00A13741" w:rsidRPr="001579EE">
        <w:rPr>
          <w:rFonts w:asciiTheme="minorHAnsi" w:hAnsiTheme="minorHAnsi"/>
          <w:iCs/>
          <w:lang w:eastAsia="pl-PL"/>
        </w:rPr>
        <w:t xml:space="preserve"> </w:t>
      </w:r>
      <w:r w:rsidR="00DB6B11" w:rsidRPr="001579EE">
        <w:rPr>
          <w:rFonts w:asciiTheme="minorHAnsi" w:hAnsiTheme="minorHAnsi"/>
          <w:iCs/>
          <w:lang w:eastAsia="pl-PL"/>
        </w:rPr>
        <w:t xml:space="preserve">na przewidziane </w:t>
      </w:r>
      <w:r w:rsidR="00F3775F" w:rsidRPr="001579EE">
        <w:rPr>
          <w:rFonts w:asciiTheme="minorHAnsi" w:hAnsiTheme="minorHAnsi"/>
          <w:iCs/>
          <w:lang w:eastAsia="pl-PL"/>
        </w:rPr>
        <w:t>cele</w:t>
      </w:r>
      <w:r w:rsidR="00640114" w:rsidRPr="001579EE">
        <w:rPr>
          <w:rFonts w:asciiTheme="minorHAnsi" w:hAnsiTheme="minorHAnsi"/>
          <w:iCs/>
          <w:lang w:eastAsia="pl-PL"/>
        </w:rPr>
        <w:t xml:space="preserve"> (bez względu na </w:t>
      </w:r>
      <w:r w:rsidR="00FE0C70" w:rsidRPr="001579EE">
        <w:rPr>
          <w:rFonts w:asciiTheme="minorHAnsi" w:hAnsiTheme="minorHAnsi"/>
          <w:iCs/>
          <w:lang w:eastAsia="pl-PL"/>
        </w:rPr>
        <w:t>sposób</w:t>
      </w:r>
      <w:r w:rsidR="00640114" w:rsidRPr="001579EE">
        <w:rPr>
          <w:rFonts w:asciiTheme="minorHAnsi" w:hAnsiTheme="minorHAnsi"/>
          <w:iCs/>
          <w:lang w:eastAsia="pl-PL"/>
        </w:rPr>
        <w:t xml:space="preserve"> uruchamiania pożyczki)</w:t>
      </w:r>
      <w:r w:rsidR="00A13741" w:rsidRPr="001579EE">
        <w:rPr>
          <w:rFonts w:asciiTheme="minorHAnsi" w:hAnsiTheme="minorHAnsi"/>
          <w:iCs/>
          <w:lang w:eastAsia="pl-PL"/>
        </w:rPr>
        <w:t xml:space="preserve"> </w:t>
      </w:r>
      <w:r w:rsidRPr="001579EE">
        <w:rPr>
          <w:rFonts w:asciiTheme="minorHAnsi" w:hAnsiTheme="minorHAnsi"/>
          <w:iCs/>
          <w:lang w:eastAsia="pl-PL"/>
        </w:rPr>
        <w:t>musi zostać należycie udokumentowane</w:t>
      </w:r>
      <w:r w:rsidR="00854DE4" w:rsidRPr="001579EE">
        <w:rPr>
          <w:rFonts w:asciiTheme="minorHAnsi" w:hAnsiTheme="minorHAnsi"/>
          <w:iCs/>
          <w:lang w:eastAsia="pl-PL"/>
        </w:rPr>
        <w:t xml:space="preserve"> w</w:t>
      </w:r>
      <w:r w:rsidR="008C7EA7" w:rsidRPr="001579EE">
        <w:rPr>
          <w:rFonts w:asciiTheme="minorHAnsi" w:hAnsiTheme="minorHAnsi"/>
          <w:iCs/>
          <w:lang w:eastAsia="pl-PL"/>
        </w:rPr>
        <w:t> </w:t>
      </w:r>
      <w:r w:rsidR="00854DE4" w:rsidRPr="001579EE">
        <w:rPr>
          <w:rFonts w:asciiTheme="minorHAnsi" w:hAnsiTheme="minorHAnsi"/>
          <w:iCs/>
          <w:lang w:eastAsia="pl-PL"/>
        </w:rPr>
        <w:t xml:space="preserve">terminie </w:t>
      </w:r>
      <w:r w:rsidR="004A07B8" w:rsidRPr="001579EE">
        <w:rPr>
          <w:rFonts w:asciiTheme="minorHAnsi" w:hAnsiTheme="minorHAnsi"/>
          <w:iCs/>
          <w:lang w:eastAsia="pl-PL"/>
        </w:rPr>
        <w:t xml:space="preserve">90 </w:t>
      </w:r>
      <w:r w:rsidR="00672E84" w:rsidRPr="001579EE">
        <w:rPr>
          <w:rFonts w:asciiTheme="minorHAnsi" w:hAnsiTheme="minorHAnsi"/>
          <w:iCs/>
          <w:lang w:eastAsia="pl-PL"/>
        </w:rPr>
        <w:t xml:space="preserve">dni od </w:t>
      </w:r>
      <w:r w:rsidR="00580A00" w:rsidRPr="001579EE">
        <w:rPr>
          <w:rFonts w:asciiTheme="minorHAnsi" w:hAnsiTheme="minorHAnsi"/>
          <w:iCs/>
          <w:lang w:eastAsia="pl-PL"/>
        </w:rPr>
        <w:t xml:space="preserve">dnia </w:t>
      </w:r>
      <w:r w:rsidR="00640114" w:rsidRPr="001579EE">
        <w:rPr>
          <w:rFonts w:asciiTheme="minorHAnsi" w:hAnsiTheme="minorHAnsi"/>
          <w:iCs/>
          <w:lang w:eastAsia="pl-PL"/>
        </w:rPr>
        <w:t>uruchomienia</w:t>
      </w:r>
      <w:r w:rsidR="00580A00" w:rsidRPr="001579EE">
        <w:rPr>
          <w:rFonts w:asciiTheme="minorHAnsi" w:hAnsiTheme="minorHAnsi"/>
          <w:iCs/>
          <w:lang w:eastAsia="pl-PL"/>
        </w:rPr>
        <w:t xml:space="preserve"> Jednostkowej Pożyczki</w:t>
      </w:r>
      <w:r w:rsidR="00CF6C03" w:rsidRPr="001579EE">
        <w:rPr>
          <w:rFonts w:asciiTheme="minorHAnsi" w:hAnsiTheme="minorHAnsi"/>
          <w:iCs/>
          <w:lang w:eastAsia="pl-PL"/>
        </w:rPr>
        <w:t>,</w:t>
      </w:r>
      <w:r w:rsidR="00D71157" w:rsidRPr="001579EE">
        <w:rPr>
          <w:rFonts w:asciiTheme="minorHAnsi" w:hAnsiTheme="minorHAnsi"/>
          <w:iCs/>
          <w:lang w:eastAsia="pl-PL"/>
        </w:rPr>
        <w:t xml:space="preserve"> </w:t>
      </w:r>
      <w:r w:rsidR="00CF6C03" w:rsidRPr="001579EE">
        <w:rPr>
          <w:rFonts w:asciiTheme="minorHAnsi" w:hAnsiTheme="minorHAnsi"/>
          <w:iCs/>
          <w:lang w:eastAsia="pl-PL"/>
        </w:rPr>
        <w:t xml:space="preserve">przy czym termin </w:t>
      </w:r>
      <w:r w:rsidR="00400805" w:rsidRPr="001579EE">
        <w:rPr>
          <w:rFonts w:asciiTheme="minorHAnsi" w:hAnsiTheme="minorHAnsi"/>
          <w:iCs/>
          <w:lang w:eastAsia="pl-PL"/>
        </w:rPr>
        <w:t>ten</w:t>
      </w:r>
      <w:r w:rsidR="00A950ED" w:rsidRPr="001579EE">
        <w:rPr>
          <w:rFonts w:asciiTheme="minorHAnsi" w:hAnsiTheme="minorHAnsi"/>
          <w:iCs/>
          <w:lang w:eastAsia="pl-PL"/>
        </w:rPr>
        <w:t xml:space="preserve"> określa datę</w:t>
      </w:r>
      <w:r w:rsidR="00400805" w:rsidRPr="001579EE">
        <w:rPr>
          <w:rFonts w:asciiTheme="minorHAnsi" w:hAnsiTheme="minorHAnsi"/>
          <w:iCs/>
          <w:lang w:eastAsia="pl-PL"/>
        </w:rPr>
        <w:t xml:space="preserve"> końcową</w:t>
      </w:r>
      <w:r w:rsidR="0058555C" w:rsidRPr="001579EE">
        <w:rPr>
          <w:rFonts w:asciiTheme="minorHAnsi" w:hAnsiTheme="minorHAnsi"/>
          <w:iCs/>
          <w:lang w:eastAsia="pl-PL"/>
        </w:rPr>
        <w:t>,</w:t>
      </w:r>
      <w:r w:rsidR="00A950ED" w:rsidRPr="001579EE">
        <w:rPr>
          <w:rFonts w:asciiTheme="minorHAnsi" w:hAnsiTheme="minorHAnsi"/>
          <w:iCs/>
          <w:lang w:eastAsia="pl-PL"/>
        </w:rPr>
        <w:t xml:space="preserve"> do której mogą być wystawiane </w:t>
      </w:r>
      <w:r w:rsidR="0033726F" w:rsidRPr="001579EE">
        <w:rPr>
          <w:rFonts w:asciiTheme="minorHAnsi" w:hAnsiTheme="minorHAnsi"/>
          <w:iCs/>
          <w:lang w:eastAsia="pl-PL"/>
        </w:rPr>
        <w:t>i</w:t>
      </w:r>
      <w:r w:rsidR="006033BF">
        <w:rPr>
          <w:rFonts w:asciiTheme="minorHAnsi" w:hAnsiTheme="minorHAnsi"/>
          <w:iCs/>
          <w:lang w:eastAsia="pl-PL"/>
        </w:rPr>
        <w:t> </w:t>
      </w:r>
      <w:r w:rsidR="0033726F" w:rsidRPr="001579EE">
        <w:rPr>
          <w:rFonts w:asciiTheme="minorHAnsi" w:hAnsiTheme="minorHAnsi"/>
          <w:iCs/>
          <w:lang w:eastAsia="pl-PL"/>
        </w:rPr>
        <w:t xml:space="preserve">opłacone </w:t>
      </w:r>
      <w:r w:rsidR="00A950ED" w:rsidRPr="001579EE">
        <w:rPr>
          <w:rFonts w:asciiTheme="minorHAnsi" w:hAnsiTheme="minorHAnsi"/>
          <w:iCs/>
          <w:lang w:eastAsia="pl-PL"/>
        </w:rPr>
        <w:t>dokumenty potwierdzające wydatkowanie środków</w:t>
      </w:r>
      <w:r w:rsidRPr="001579EE">
        <w:rPr>
          <w:rFonts w:asciiTheme="minorHAnsi" w:hAnsiTheme="minorHAnsi"/>
          <w:iCs/>
          <w:lang w:eastAsia="pl-PL"/>
        </w:rPr>
        <w:t>.</w:t>
      </w:r>
      <w:r w:rsidR="00551C05" w:rsidRPr="001579EE">
        <w:rPr>
          <w:rFonts w:asciiTheme="minorHAnsi" w:hAnsiTheme="minorHAnsi"/>
          <w:iCs/>
          <w:lang w:eastAsia="pl-PL"/>
        </w:rPr>
        <w:t xml:space="preserve"> </w:t>
      </w:r>
      <w:r w:rsidR="00114FDE" w:rsidRPr="001579EE">
        <w:rPr>
          <w:rFonts w:asciiTheme="minorHAnsi" w:hAnsiTheme="minorHAnsi"/>
          <w:iCs/>
          <w:lang w:eastAsia="pl-PL"/>
        </w:rPr>
        <w:t xml:space="preserve">W wyjątkowych i odpowiednio </w:t>
      </w:r>
      <w:r w:rsidR="00551C05" w:rsidRPr="001579EE">
        <w:rPr>
          <w:rFonts w:asciiTheme="minorHAnsi" w:hAnsiTheme="minorHAnsi"/>
          <w:iCs/>
          <w:lang w:eastAsia="pl-PL"/>
        </w:rPr>
        <w:t>uzasadnionych przypadkach</w:t>
      </w:r>
      <w:r w:rsidR="0067303B" w:rsidRPr="001579EE">
        <w:rPr>
          <w:rFonts w:asciiTheme="minorHAnsi" w:hAnsiTheme="minorHAnsi"/>
          <w:iCs/>
          <w:lang w:eastAsia="pl-PL"/>
        </w:rPr>
        <w:t>,</w:t>
      </w:r>
      <w:r w:rsidR="003F6DBA" w:rsidRPr="001579EE">
        <w:rPr>
          <w:rFonts w:asciiTheme="minorHAnsi" w:hAnsiTheme="minorHAnsi"/>
          <w:iCs/>
          <w:lang w:eastAsia="pl-PL"/>
        </w:rPr>
        <w:t xml:space="preserve"> w tym biorąc pod uwagę charakter Inwestycji Końcowej,</w:t>
      </w:r>
      <w:r w:rsidR="00551C05" w:rsidRPr="001579EE">
        <w:rPr>
          <w:rFonts w:asciiTheme="minorHAnsi" w:hAnsiTheme="minorHAnsi"/>
          <w:iCs/>
          <w:lang w:eastAsia="pl-PL"/>
        </w:rPr>
        <w:t xml:space="preserve"> na wniosek </w:t>
      </w:r>
      <w:r w:rsidR="00DA68CE">
        <w:rPr>
          <w:rFonts w:asciiTheme="minorHAnsi" w:hAnsiTheme="minorHAnsi"/>
          <w:iCs/>
          <w:lang w:eastAsia="pl-PL"/>
        </w:rPr>
        <w:t>Pożyczkobiorcy</w:t>
      </w:r>
      <w:r w:rsidR="00400805" w:rsidRPr="001579EE">
        <w:rPr>
          <w:rFonts w:asciiTheme="minorHAnsi" w:hAnsiTheme="minorHAnsi"/>
          <w:iCs/>
          <w:lang w:eastAsia="pl-PL"/>
        </w:rPr>
        <w:t>,</w:t>
      </w:r>
      <w:r w:rsidR="00551C05" w:rsidRPr="001579EE">
        <w:rPr>
          <w:rFonts w:asciiTheme="minorHAnsi" w:hAnsiTheme="minorHAnsi"/>
          <w:iCs/>
          <w:lang w:eastAsia="pl-PL"/>
        </w:rPr>
        <w:t xml:space="preserve"> </w:t>
      </w:r>
      <w:r w:rsidR="00121F2F" w:rsidRPr="001579EE">
        <w:rPr>
          <w:rFonts w:asciiTheme="minorHAnsi" w:hAnsiTheme="minorHAnsi"/>
          <w:iCs/>
          <w:lang w:eastAsia="pl-PL"/>
        </w:rPr>
        <w:t>P</w:t>
      </w:r>
      <w:r w:rsidR="00DA68CE">
        <w:rPr>
          <w:rFonts w:asciiTheme="minorHAnsi" w:hAnsiTheme="minorHAnsi"/>
          <w:iCs/>
          <w:lang w:eastAsia="pl-PL"/>
        </w:rPr>
        <w:t>ożyczkodawca</w:t>
      </w:r>
      <w:r w:rsidR="0067303B" w:rsidRPr="001579EE">
        <w:rPr>
          <w:rFonts w:asciiTheme="minorHAnsi" w:hAnsiTheme="minorHAnsi"/>
          <w:iCs/>
          <w:lang w:eastAsia="pl-PL"/>
        </w:rPr>
        <w:t xml:space="preserve"> </w:t>
      </w:r>
      <w:r w:rsidR="00551C05" w:rsidRPr="001579EE">
        <w:rPr>
          <w:rFonts w:asciiTheme="minorHAnsi" w:hAnsiTheme="minorHAnsi"/>
          <w:iCs/>
          <w:lang w:eastAsia="pl-PL"/>
        </w:rPr>
        <w:t xml:space="preserve">może </w:t>
      </w:r>
      <w:r w:rsidR="003F6DBA" w:rsidRPr="001579EE">
        <w:rPr>
          <w:rFonts w:asciiTheme="minorHAnsi" w:hAnsiTheme="minorHAnsi"/>
          <w:iCs/>
          <w:lang w:eastAsia="pl-PL"/>
        </w:rPr>
        <w:t>wydłużyć</w:t>
      </w:r>
      <w:r w:rsidR="0067303B" w:rsidRPr="001579EE">
        <w:rPr>
          <w:rFonts w:asciiTheme="minorHAnsi" w:hAnsiTheme="minorHAnsi"/>
          <w:iCs/>
          <w:lang w:eastAsia="pl-PL"/>
        </w:rPr>
        <w:t xml:space="preserve"> </w:t>
      </w:r>
      <w:r w:rsidR="003F6DBA" w:rsidRPr="001579EE">
        <w:rPr>
          <w:rFonts w:asciiTheme="minorHAnsi" w:hAnsiTheme="minorHAnsi"/>
          <w:iCs/>
          <w:lang w:eastAsia="pl-PL"/>
        </w:rPr>
        <w:t xml:space="preserve">ten </w:t>
      </w:r>
      <w:r w:rsidR="0067303B" w:rsidRPr="001579EE">
        <w:rPr>
          <w:rFonts w:asciiTheme="minorHAnsi" w:hAnsiTheme="minorHAnsi"/>
          <w:iCs/>
          <w:lang w:eastAsia="pl-PL"/>
        </w:rPr>
        <w:t>termin</w:t>
      </w:r>
      <w:r w:rsidR="00551C05" w:rsidRPr="001579EE">
        <w:rPr>
          <w:rFonts w:asciiTheme="minorHAnsi" w:hAnsiTheme="minorHAnsi"/>
          <w:iCs/>
          <w:lang w:eastAsia="pl-PL"/>
        </w:rPr>
        <w:t xml:space="preserve"> maksymalnie o </w:t>
      </w:r>
      <w:r w:rsidR="004A07B8" w:rsidRPr="001579EE">
        <w:rPr>
          <w:rFonts w:asciiTheme="minorHAnsi" w:hAnsiTheme="minorHAnsi"/>
          <w:iCs/>
          <w:lang w:eastAsia="pl-PL"/>
        </w:rPr>
        <w:t>90</w:t>
      </w:r>
      <w:r w:rsidR="009C61FB" w:rsidRPr="001579EE">
        <w:rPr>
          <w:rFonts w:asciiTheme="minorHAnsi" w:hAnsiTheme="minorHAnsi"/>
          <w:iCs/>
          <w:lang w:eastAsia="pl-PL"/>
        </w:rPr>
        <w:t xml:space="preserve"> </w:t>
      </w:r>
      <w:r w:rsidR="00551C05" w:rsidRPr="001579EE">
        <w:rPr>
          <w:rFonts w:asciiTheme="minorHAnsi" w:hAnsiTheme="minorHAnsi"/>
          <w:iCs/>
          <w:lang w:eastAsia="pl-PL"/>
        </w:rPr>
        <w:t>dni</w:t>
      </w:r>
      <w:r w:rsidR="004040CC" w:rsidRPr="001579EE">
        <w:rPr>
          <w:rFonts w:asciiTheme="minorHAnsi" w:hAnsiTheme="minorHAnsi"/>
          <w:iCs/>
          <w:lang w:eastAsia="pl-PL"/>
        </w:rPr>
        <w:t>.</w:t>
      </w:r>
      <w:r w:rsidR="00A639BF" w:rsidRPr="001579EE">
        <w:rPr>
          <w:rFonts w:asciiTheme="minorHAnsi" w:hAnsiTheme="minorHAnsi"/>
          <w:iCs/>
          <w:lang w:eastAsia="pl-PL"/>
        </w:rPr>
        <w:t xml:space="preserve"> </w:t>
      </w:r>
    </w:p>
    <w:p w14:paraId="4D9B416E" w14:textId="446BED9D" w:rsidR="009F04BE" w:rsidRPr="00C36F8B" w:rsidRDefault="001465A3" w:rsidP="00D968C9">
      <w:pPr>
        <w:numPr>
          <w:ilvl w:val="0"/>
          <w:numId w:val="10"/>
        </w:numPr>
        <w:spacing w:before="40" w:after="120"/>
        <w:jc w:val="both"/>
        <w:rPr>
          <w:rFonts w:asciiTheme="minorHAnsi" w:hAnsiTheme="minorHAnsi"/>
        </w:rPr>
      </w:pPr>
      <w:r w:rsidRPr="001579EE">
        <w:rPr>
          <w:rFonts w:asciiTheme="minorHAnsi" w:hAnsiTheme="minorHAnsi"/>
          <w:iCs/>
          <w:lang w:eastAsia="pl-PL"/>
        </w:rPr>
        <w:lastRenderedPageBreak/>
        <w:t xml:space="preserve">Dokumentem potwierdzającym </w:t>
      </w:r>
      <w:bookmarkStart w:id="3" w:name="_Hlk160088336"/>
      <w:r w:rsidRPr="001579EE">
        <w:rPr>
          <w:rFonts w:asciiTheme="minorHAnsi" w:hAnsiTheme="minorHAnsi"/>
          <w:iCs/>
          <w:lang w:eastAsia="pl-PL"/>
        </w:rPr>
        <w:t xml:space="preserve">wydatkowanie środków zgodnie z </w:t>
      </w:r>
      <w:r w:rsidR="001D7381" w:rsidRPr="001579EE">
        <w:rPr>
          <w:rFonts w:asciiTheme="minorHAnsi" w:hAnsiTheme="minorHAnsi"/>
          <w:iCs/>
          <w:lang w:eastAsia="pl-PL"/>
        </w:rPr>
        <w:t>przeznaczeniem</w:t>
      </w:r>
      <w:r w:rsidRPr="001579EE">
        <w:rPr>
          <w:rFonts w:asciiTheme="minorHAnsi" w:hAnsiTheme="minorHAnsi"/>
          <w:iCs/>
          <w:lang w:eastAsia="pl-PL"/>
        </w:rPr>
        <w:t>, na jaki</w:t>
      </w:r>
      <w:r w:rsidR="005874A5" w:rsidRPr="001579EE">
        <w:rPr>
          <w:rFonts w:asciiTheme="minorHAnsi" w:hAnsiTheme="minorHAnsi"/>
          <w:iCs/>
          <w:lang w:eastAsia="pl-PL"/>
        </w:rPr>
        <w:t>e</w:t>
      </w:r>
      <w:r w:rsidRPr="001579EE">
        <w:rPr>
          <w:rFonts w:asciiTheme="minorHAnsi" w:hAnsiTheme="minorHAnsi"/>
          <w:iCs/>
          <w:lang w:eastAsia="pl-PL"/>
        </w:rPr>
        <w:t xml:space="preserve"> zostały przyznane</w:t>
      </w:r>
      <w:bookmarkEnd w:id="3"/>
      <w:r w:rsidRPr="001579EE">
        <w:rPr>
          <w:rFonts w:asciiTheme="minorHAnsi" w:hAnsiTheme="minorHAnsi"/>
          <w:iCs/>
          <w:lang w:eastAsia="pl-PL"/>
        </w:rPr>
        <w:t xml:space="preserve"> </w:t>
      </w:r>
      <w:r w:rsidR="00D54BF0" w:rsidRPr="001579EE">
        <w:rPr>
          <w:rFonts w:asciiTheme="minorHAnsi" w:hAnsiTheme="minorHAnsi"/>
          <w:iCs/>
          <w:lang w:eastAsia="pl-PL"/>
        </w:rPr>
        <w:t>jest</w:t>
      </w:r>
      <w:r w:rsidR="00F3775F" w:rsidRPr="001579EE">
        <w:rPr>
          <w:rFonts w:asciiTheme="minorHAnsi" w:hAnsiTheme="minorHAnsi"/>
          <w:iCs/>
          <w:lang w:eastAsia="pl-PL"/>
        </w:rPr>
        <w:t xml:space="preserve"> </w:t>
      </w:r>
      <w:r w:rsidRPr="001579EE">
        <w:rPr>
          <w:rFonts w:asciiTheme="minorHAnsi" w:hAnsiTheme="minorHAnsi"/>
          <w:iCs/>
          <w:lang w:eastAsia="pl-PL"/>
        </w:rPr>
        <w:t xml:space="preserve">faktura lub dokument </w:t>
      </w:r>
      <w:r w:rsidR="00F3775F" w:rsidRPr="001579EE">
        <w:rPr>
          <w:rFonts w:asciiTheme="minorHAnsi" w:hAnsiTheme="minorHAnsi"/>
          <w:iCs/>
          <w:lang w:eastAsia="pl-PL"/>
        </w:rPr>
        <w:t xml:space="preserve">księgowy o </w:t>
      </w:r>
      <w:r w:rsidRPr="001579EE">
        <w:rPr>
          <w:rFonts w:asciiTheme="minorHAnsi" w:hAnsiTheme="minorHAnsi"/>
          <w:iCs/>
          <w:lang w:eastAsia="pl-PL"/>
        </w:rPr>
        <w:t>równoważn</w:t>
      </w:r>
      <w:r w:rsidR="00F3775F" w:rsidRPr="001579EE">
        <w:rPr>
          <w:rFonts w:asciiTheme="minorHAnsi" w:hAnsiTheme="minorHAnsi"/>
          <w:iCs/>
          <w:lang w:eastAsia="pl-PL"/>
        </w:rPr>
        <w:t>ej wartości dowodowej</w:t>
      </w:r>
      <w:r w:rsidR="00A505ED" w:rsidRPr="001579EE">
        <w:rPr>
          <w:rFonts w:asciiTheme="minorHAnsi" w:hAnsiTheme="minorHAnsi"/>
          <w:iCs/>
          <w:lang w:eastAsia="pl-PL"/>
        </w:rPr>
        <w:t xml:space="preserve">, </w:t>
      </w:r>
      <w:r w:rsidR="009F04BE" w:rsidRPr="001579EE">
        <w:rPr>
          <w:rFonts w:asciiTheme="minorHAnsi" w:hAnsiTheme="minorHAnsi"/>
          <w:iCs/>
          <w:lang w:eastAsia="pl-PL"/>
        </w:rPr>
        <w:t>wraz z</w:t>
      </w:r>
      <w:r w:rsidR="00BA3D1E" w:rsidRPr="001579EE">
        <w:rPr>
          <w:rFonts w:asciiTheme="minorHAnsi" w:hAnsiTheme="minorHAnsi"/>
          <w:iCs/>
          <w:lang w:eastAsia="pl-PL"/>
        </w:rPr>
        <w:t> </w:t>
      </w:r>
      <w:r w:rsidR="009F04BE" w:rsidRPr="001579EE">
        <w:rPr>
          <w:rFonts w:asciiTheme="minorHAnsi" w:hAnsiTheme="minorHAnsi"/>
          <w:iCs/>
          <w:lang w:eastAsia="pl-PL"/>
        </w:rPr>
        <w:t>dokumentem</w:t>
      </w:r>
      <w:r w:rsidR="0033726F">
        <w:rPr>
          <w:rFonts w:asciiTheme="minorHAnsi" w:hAnsiTheme="minorHAnsi"/>
        </w:rPr>
        <w:t>/dowodem</w:t>
      </w:r>
      <w:r w:rsidR="009F04BE" w:rsidRPr="00C36F8B">
        <w:rPr>
          <w:rFonts w:asciiTheme="minorHAnsi" w:hAnsiTheme="minorHAnsi"/>
        </w:rPr>
        <w:t xml:space="preserve"> potwierdzającym dokonanie zapłaty.</w:t>
      </w:r>
      <w:r w:rsidR="00F3775F" w:rsidRPr="00C36F8B">
        <w:rPr>
          <w:rFonts w:asciiTheme="minorHAnsi" w:hAnsiTheme="minorHAnsi"/>
        </w:rPr>
        <w:t xml:space="preserve"> </w:t>
      </w:r>
      <w:r w:rsidR="00281C3A" w:rsidRPr="00C36F8B">
        <w:rPr>
          <w:rFonts w:asciiTheme="minorHAnsi" w:hAnsiTheme="minorHAnsi"/>
        </w:rPr>
        <w:t xml:space="preserve">Dokument, o którym mowa w zdaniu poprzednim powinien być wystawiony nie wcześniej niż w dniu złożenia </w:t>
      </w:r>
      <w:r w:rsidR="00DE7604" w:rsidRPr="00C36F8B">
        <w:rPr>
          <w:rFonts w:asciiTheme="minorHAnsi" w:hAnsiTheme="minorHAnsi"/>
        </w:rPr>
        <w:t>Wniosku</w:t>
      </w:r>
      <w:r w:rsidR="00281C3A" w:rsidRPr="00C36F8B">
        <w:rPr>
          <w:rFonts w:asciiTheme="minorHAnsi" w:hAnsiTheme="minorHAnsi"/>
        </w:rPr>
        <w:t xml:space="preserve">, z zastrzeżeniem spełnienia warunku określonego </w:t>
      </w:r>
      <w:r w:rsidR="00281C3A" w:rsidRPr="00DE42A0">
        <w:rPr>
          <w:rFonts w:asciiTheme="minorHAnsi" w:hAnsiTheme="minorHAnsi"/>
        </w:rPr>
        <w:t xml:space="preserve">w Części </w:t>
      </w:r>
      <w:r w:rsidR="00A16B2E" w:rsidRPr="00DE42A0">
        <w:rPr>
          <w:rFonts w:asciiTheme="minorHAnsi" w:hAnsiTheme="minorHAnsi"/>
        </w:rPr>
        <w:t>I</w:t>
      </w:r>
      <w:r w:rsidR="00DE42A0" w:rsidRPr="00DE42A0">
        <w:rPr>
          <w:rFonts w:asciiTheme="minorHAnsi" w:hAnsiTheme="minorHAnsi"/>
        </w:rPr>
        <w:t>II</w:t>
      </w:r>
      <w:r w:rsidR="00A16B2E" w:rsidRPr="00DE42A0">
        <w:rPr>
          <w:rFonts w:asciiTheme="minorHAnsi" w:hAnsiTheme="minorHAnsi"/>
        </w:rPr>
        <w:t xml:space="preserve"> </w:t>
      </w:r>
      <w:r w:rsidR="00281C3A" w:rsidRPr="00DE42A0">
        <w:rPr>
          <w:rFonts w:asciiTheme="minorHAnsi" w:hAnsiTheme="minorHAnsi"/>
        </w:rPr>
        <w:t xml:space="preserve">pkt </w:t>
      </w:r>
      <w:r w:rsidR="009E2A7A">
        <w:rPr>
          <w:rFonts w:asciiTheme="minorHAnsi" w:hAnsiTheme="minorHAnsi"/>
        </w:rPr>
        <w:t>6</w:t>
      </w:r>
      <w:r w:rsidR="00281C3A" w:rsidRPr="00DE42A0">
        <w:rPr>
          <w:rFonts w:asciiTheme="minorHAnsi" w:hAnsiTheme="minorHAnsi"/>
        </w:rPr>
        <w:t>.</w:t>
      </w:r>
      <w:r w:rsidR="00281C3A" w:rsidRPr="00C36F8B">
        <w:rPr>
          <w:rFonts w:asciiTheme="minorHAnsi" w:hAnsiTheme="minorHAnsi"/>
        </w:rPr>
        <w:t xml:space="preserve"> </w:t>
      </w:r>
    </w:p>
    <w:p w14:paraId="5829FFC3" w14:textId="1BAFB062" w:rsidR="00776E8C" w:rsidRPr="001579EE" w:rsidRDefault="00776E8C" w:rsidP="00D968C9">
      <w:pPr>
        <w:numPr>
          <w:ilvl w:val="0"/>
          <w:numId w:val="10"/>
        </w:numPr>
        <w:spacing w:before="40" w:after="120"/>
        <w:jc w:val="both"/>
        <w:rPr>
          <w:rFonts w:asciiTheme="minorHAnsi" w:hAnsiTheme="minorHAnsi"/>
          <w:iCs/>
          <w:lang w:eastAsia="pl-PL"/>
        </w:rPr>
      </w:pPr>
      <w:r w:rsidRPr="001579EE">
        <w:rPr>
          <w:rFonts w:asciiTheme="minorHAnsi" w:hAnsiTheme="minorHAnsi"/>
          <w:iCs/>
          <w:lang w:eastAsia="pl-PL"/>
        </w:rPr>
        <w:t>Wraz z dokumentami</w:t>
      </w:r>
      <w:r w:rsidR="00447A34" w:rsidRPr="001579EE">
        <w:rPr>
          <w:rFonts w:asciiTheme="minorHAnsi" w:hAnsiTheme="minorHAnsi"/>
          <w:iCs/>
          <w:lang w:eastAsia="pl-PL"/>
        </w:rPr>
        <w:t>,</w:t>
      </w:r>
      <w:r w:rsidRPr="001579EE">
        <w:rPr>
          <w:rFonts w:asciiTheme="minorHAnsi" w:hAnsiTheme="minorHAnsi"/>
          <w:iCs/>
          <w:lang w:eastAsia="pl-PL"/>
        </w:rPr>
        <w:t xml:space="preserve"> o których mo</w:t>
      </w:r>
      <w:r w:rsidRPr="00DA68CE">
        <w:rPr>
          <w:rFonts w:asciiTheme="minorHAnsi" w:hAnsiTheme="minorHAnsi"/>
          <w:iCs/>
          <w:lang w:eastAsia="pl-PL"/>
        </w:rPr>
        <w:t xml:space="preserve">wa w </w:t>
      </w:r>
      <w:r w:rsidR="000C3494" w:rsidRPr="00DA68CE">
        <w:rPr>
          <w:rFonts w:asciiTheme="minorHAnsi" w:hAnsiTheme="minorHAnsi"/>
          <w:iCs/>
          <w:lang w:eastAsia="pl-PL"/>
        </w:rPr>
        <w:t>pkt</w:t>
      </w:r>
      <w:r w:rsidRPr="00DA68CE">
        <w:rPr>
          <w:rFonts w:asciiTheme="minorHAnsi" w:hAnsiTheme="minorHAnsi"/>
          <w:iCs/>
          <w:lang w:eastAsia="pl-PL"/>
        </w:rPr>
        <w:t xml:space="preserve">. </w:t>
      </w:r>
      <w:r w:rsidR="00DA68CE" w:rsidRPr="00DA68CE">
        <w:rPr>
          <w:rFonts w:asciiTheme="minorHAnsi" w:hAnsiTheme="minorHAnsi"/>
          <w:iCs/>
          <w:lang w:eastAsia="pl-PL"/>
        </w:rPr>
        <w:t>3</w:t>
      </w:r>
      <w:r w:rsidRPr="00DA68CE">
        <w:rPr>
          <w:rFonts w:asciiTheme="minorHAnsi" w:hAnsiTheme="minorHAnsi"/>
          <w:iCs/>
          <w:lang w:eastAsia="pl-PL"/>
        </w:rPr>
        <w:t xml:space="preserve">, </w:t>
      </w:r>
      <w:r w:rsidR="00121F2F" w:rsidRPr="00DA68CE">
        <w:rPr>
          <w:rFonts w:asciiTheme="minorHAnsi" w:hAnsiTheme="minorHAnsi"/>
          <w:iCs/>
          <w:lang w:eastAsia="pl-PL"/>
        </w:rPr>
        <w:t>P</w:t>
      </w:r>
      <w:r w:rsidR="00DA68CE" w:rsidRPr="00DA68CE">
        <w:rPr>
          <w:rFonts w:asciiTheme="minorHAnsi" w:hAnsiTheme="minorHAnsi"/>
          <w:iCs/>
          <w:lang w:eastAsia="pl-PL"/>
        </w:rPr>
        <w:t>ożyczkobiorca</w:t>
      </w:r>
      <w:r w:rsidRPr="00DA68CE">
        <w:rPr>
          <w:rFonts w:asciiTheme="minorHAnsi" w:hAnsiTheme="minorHAnsi"/>
          <w:iCs/>
          <w:lang w:eastAsia="pl-PL"/>
        </w:rPr>
        <w:t xml:space="preserve"> pozyskuje od </w:t>
      </w:r>
      <w:r w:rsidR="00DA68CE" w:rsidRPr="00DA68CE">
        <w:rPr>
          <w:rFonts w:asciiTheme="minorHAnsi" w:hAnsiTheme="minorHAnsi"/>
          <w:iCs/>
          <w:lang w:eastAsia="pl-PL"/>
        </w:rPr>
        <w:t xml:space="preserve">Pożyczkodawcy </w:t>
      </w:r>
      <w:r w:rsidRPr="00DA68CE">
        <w:rPr>
          <w:rFonts w:asciiTheme="minorHAnsi" w:hAnsiTheme="minorHAnsi"/>
          <w:iCs/>
          <w:lang w:eastAsia="pl-PL"/>
        </w:rPr>
        <w:t xml:space="preserve">informacje na temat </w:t>
      </w:r>
      <w:r w:rsidR="003D1574" w:rsidRPr="00DA68CE">
        <w:rPr>
          <w:rFonts w:asciiTheme="minorHAnsi" w:hAnsiTheme="minorHAnsi"/>
          <w:iCs/>
          <w:lang w:eastAsia="pl-PL"/>
        </w:rPr>
        <w:t>wysokości</w:t>
      </w:r>
      <w:r w:rsidRPr="00DA68CE">
        <w:rPr>
          <w:rFonts w:asciiTheme="minorHAnsi" w:hAnsiTheme="minorHAnsi"/>
          <w:iCs/>
          <w:lang w:eastAsia="pl-PL"/>
        </w:rPr>
        <w:t xml:space="preserve"> wniesionego przez</w:t>
      </w:r>
      <w:r w:rsidRPr="001579EE">
        <w:rPr>
          <w:rFonts w:asciiTheme="minorHAnsi" w:hAnsiTheme="minorHAnsi"/>
          <w:iCs/>
          <w:lang w:eastAsia="pl-PL"/>
        </w:rPr>
        <w:t xml:space="preserve"> niego wkładu własnego do Inwestycji</w:t>
      </w:r>
      <w:r w:rsidR="00462E12" w:rsidRPr="001579EE">
        <w:rPr>
          <w:rFonts w:asciiTheme="minorHAnsi" w:hAnsiTheme="minorHAnsi"/>
          <w:iCs/>
          <w:lang w:eastAsia="pl-PL"/>
        </w:rPr>
        <w:t xml:space="preserve"> Końcowej</w:t>
      </w:r>
      <w:r w:rsidR="00447A34" w:rsidRPr="001579EE">
        <w:rPr>
          <w:rFonts w:asciiTheme="minorHAnsi" w:hAnsiTheme="minorHAnsi"/>
          <w:iCs/>
          <w:lang w:eastAsia="pl-PL"/>
        </w:rPr>
        <w:t xml:space="preserve"> (jeśli został wniesiony)</w:t>
      </w:r>
      <w:r w:rsidRPr="001579EE">
        <w:rPr>
          <w:rFonts w:asciiTheme="minorHAnsi" w:hAnsiTheme="minorHAnsi"/>
          <w:iCs/>
          <w:lang w:eastAsia="pl-PL"/>
        </w:rPr>
        <w:t xml:space="preserve">. </w:t>
      </w:r>
    </w:p>
    <w:p w14:paraId="5E45BDC5" w14:textId="77777777" w:rsidR="00736A56" w:rsidRPr="001579EE" w:rsidRDefault="00736A56" w:rsidP="00D968C9">
      <w:pPr>
        <w:numPr>
          <w:ilvl w:val="0"/>
          <w:numId w:val="10"/>
        </w:numPr>
        <w:spacing w:before="40" w:after="120"/>
        <w:jc w:val="both"/>
        <w:rPr>
          <w:rFonts w:asciiTheme="minorHAnsi" w:hAnsiTheme="minorHAnsi"/>
          <w:iCs/>
          <w:lang w:eastAsia="pl-PL"/>
        </w:rPr>
      </w:pPr>
      <w:r w:rsidRPr="001579EE">
        <w:rPr>
          <w:rFonts w:asciiTheme="minorHAnsi" w:hAnsiTheme="minorHAnsi"/>
          <w:iCs/>
          <w:lang w:eastAsia="pl-PL"/>
        </w:rPr>
        <w:t>W przypadku dokonywania w ramach Inwestycji</w:t>
      </w:r>
      <w:r w:rsidR="00462E12" w:rsidRPr="001579EE">
        <w:rPr>
          <w:rFonts w:asciiTheme="minorHAnsi" w:hAnsiTheme="minorHAnsi"/>
          <w:iCs/>
          <w:lang w:eastAsia="pl-PL"/>
        </w:rPr>
        <w:t xml:space="preserve"> Końcowej</w:t>
      </w:r>
      <w:r w:rsidRPr="001579EE">
        <w:rPr>
          <w:rFonts w:asciiTheme="minorHAnsi" w:hAnsiTheme="minorHAnsi"/>
          <w:iCs/>
          <w:lang w:eastAsia="pl-PL"/>
        </w:rPr>
        <w:t xml:space="preserve"> płatności w formie gotówkowej, płatności takie </w:t>
      </w:r>
      <w:r w:rsidR="00F5716D" w:rsidRPr="001579EE">
        <w:rPr>
          <w:rFonts w:asciiTheme="minorHAnsi" w:hAnsiTheme="minorHAnsi"/>
          <w:iCs/>
          <w:lang w:eastAsia="pl-PL"/>
        </w:rPr>
        <w:t xml:space="preserve">muszą być </w:t>
      </w:r>
      <w:r w:rsidRPr="001579EE">
        <w:rPr>
          <w:rFonts w:asciiTheme="minorHAnsi" w:hAnsiTheme="minorHAnsi"/>
          <w:iCs/>
          <w:lang w:eastAsia="pl-PL"/>
        </w:rPr>
        <w:t xml:space="preserve">dokonywane z poszanowaniem art. 19 Ustawy z dnia </w:t>
      </w:r>
      <w:r w:rsidR="00E227DA" w:rsidRPr="001579EE">
        <w:rPr>
          <w:rFonts w:asciiTheme="minorHAnsi" w:hAnsiTheme="minorHAnsi"/>
          <w:iCs/>
          <w:lang w:eastAsia="pl-PL"/>
        </w:rPr>
        <w:t>6</w:t>
      </w:r>
      <w:r w:rsidRPr="001579EE">
        <w:rPr>
          <w:rFonts w:asciiTheme="minorHAnsi" w:hAnsiTheme="minorHAnsi"/>
          <w:iCs/>
          <w:lang w:eastAsia="pl-PL"/>
        </w:rPr>
        <w:t xml:space="preserve"> marca 2018 r. Prawo przedsiębiorców lub aktu zastępującego</w:t>
      </w:r>
      <w:r w:rsidR="001D5417" w:rsidRPr="001579EE">
        <w:rPr>
          <w:rFonts w:asciiTheme="minorHAnsi" w:hAnsiTheme="minorHAnsi"/>
          <w:iCs/>
          <w:lang w:eastAsia="pl-PL"/>
        </w:rPr>
        <w:t>, pod rygorem uznania</w:t>
      </w:r>
      <w:r w:rsidR="00F5716D" w:rsidRPr="001579EE">
        <w:rPr>
          <w:rFonts w:asciiTheme="minorHAnsi" w:hAnsiTheme="minorHAnsi"/>
          <w:iCs/>
          <w:lang w:eastAsia="pl-PL"/>
        </w:rPr>
        <w:t xml:space="preserve"> tego rodzaju płatności jako wydatki niekwalifikowalne.</w:t>
      </w:r>
    </w:p>
    <w:p w14:paraId="4A3854AF" w14:textId="3C7A3C01" w:rsidR="001465A3" w:rsidRPr="001579EE" w:rsidRDefault="00265E3C" w:rsidP="00D968C9">
      <w:pPr>
        <w:numPr>
          <w:ilvl w:val="0"/>
          <w:numId w:val="10"/>
        </w:numPr>
        <w:spacing w:before="40" w:after="120"/>
        <w:jc w:val="both"/>
        <w:rPr>
          <w:rFonts w:asciiTheme="minorHAnsi" w:hAnsiTheme="minorHAnsi"/>
          <w:iCs/>
          <w:lang w:eastAsia="pl-PL"/>
        </w:rPr>
      </w:pPr>
      <w:r w:rsidRPr="001579EE">
        <w:rPr>
          <w:rFonts w:asciiTheme="minorHAnsi" w:hAnsiTheme="minorHAnsi"/>
          <w:iCs/>
          <w:lang w:eastAsia="pl-PL"/>
        </w:rPr>
        <w:t xml:space="preserve">Wszelka dokumentacja potwierdzająca wydatkowanie środków przez </w:t>
      </w:r>
      <w:r w:rsidR="00DA68CE">
        <w:rPr>
          <w:rFonts w:asciiTheme="minorHAnsi" w:hAnsiTheme="minorHAnsi"/>
          <w:iCs/>
          <w:lang w:eastAsia="pl-PL"/>
        </w:rPr>
        <w:t>Pożyczkobiorcę</w:t>
      </w:r>
      <w:r w:rsidR="00F74BD2" w:rsidRPr="001579EE">
        <w:rPr>
          <w:rFonts w:asciiTheme="minorHAnsi" w:hAnsiTheme="minorHAnsi"/>
          <w:iCs/>
          <w:lang w:eastAsia="pl-PL"/>
        </w:rPr>
        <w:t xml:space="preserve"> </w:t>
      </w:r>
      <w:r w:rsidRPr="001579EE">
        <w:rPr>
          <w:rFonts w:asciiTheme="minorHAnsi" w:hAnsiTheme="minorHAnsi"/>
          <w:iCs/>
          <w:lang w:eastAsia="pl-PL"/>
        </w:rPr>
        <w:t>powinna być, co do zasady, sporządzona w języku polskim, a w przypadku dokumentów wystawianych w języku innym niż język polski</w:t>
      </w:r>
      <w:r w:rsidR="001F5624" w:rsidRPr="001579EE">
        <w:rPr>
          <w:rFonts w:asciiTheme="minorHAnsi" w:hAnsiTheme="minorHAnsi"/>
          <w:iCs/>
          <w:lang w:eastAsia="pl-PL"/>
        </w:rPr>
        <w:t xml:space="preserve">, </w:t>
      </w:r>
      <w:r w:rsidR="00445D37" w:rsidRPr="001579EE">
        <w:rPr>
          <w:rFonts w:asciiTheme="minorHAnsi" w:hAnsiTheme="minorHAnsi"/>
          <w:iCs/>
          <w:lang w:eastAsia="pl-PL"/>
        </w:rPr>
        <w:t xml:space="preserve">w </w:t>
      </w:r>
      <w:r w:rsidR="00EB76BB" w:rsidRPr="001579EE">
        <w:rPr>
          <w:rFonts w:asciiTheme="minorHAnsi" w:hAnsiTheme="minorHAnsi"/>
          <w:iCs/>
          <w:lang w:eastAsia="pl-PL"/>
        </w:rPr>
        <w:t>razie</w:t>
      </w:r>
      <w:r w:rsidR="00445D37" w:rsidRPr="001579EE">
        <w:rPr>
          <w:rFonts w:asciiTheme="minorHAnsi" w:hAnsiTheme="minorHAnsi"/>
          <w:iCs/>
          <w:lang w:eastAsia="pl-PL"/>
        </w:rPr>
        <w:t xml:space="preserve"> istnienia wątpliwości co do treści tych dokumentów, </w:t>
      </w:r>
      <w:r w:rsidR="001F5624" w:rsidRPr="001579EE">
        <w:rPr>
          <w:rFonts w:asciiTheme="minorHAnsi" w:hAnsiTheme="minorHAnsi"/>
          <w:iCs/>
          <w:lang w:eastAsia="pl-PL"/>
        </w:rPr>
        <w:t>powinna</w:t>
      </w:r>
      <w:r w:rsidRPr="001579EE">
        <w:rPr>
          <w:rFonts w:asciiTheme="minorHAnsi" w:hAnsiTheme="minorHAnsi"/>
          <w:iCs/>
          <w:lang w:eastAsia="pl-PL"/>
        </w:rPr>
        <w:t xml:space="preserve"> zostać przetłumaczona na język polski</w:t>
      </w:r>
      <w:r w:rsidR="00445D37" w:rsidRPr="001579EE">
        <w:rPr>
          <w:rFonts w:asciiTheme="minorHAnsi" w:hAnsiTheme="minorHAnsi"/>
          <w:iCs/>
          <w:lang w:eastAsia="pl-PL"/>
        </w:rPr>
        <w:t>.</w:t>
      </w:r>
    </w:p>
    <w:p w14:paraId="4BF17F9B" w14:textId="37BFE15E" w:rsidR="005C057F" w:rsidRPr="00D34720" w:rsidRDefault="005C057F" w:rsidP="00D968C9">
      <w:pPr>
        <w:pStyle w:val="Nagwek1"/>
        <w:numPr>
          <w:ilvl w:val="0"/>
          <w:numId w:val="5"/>
        </w:numPr>
      </w:pPr>
      <w:r w:rsidRPr="00D34720">
        <w:t xml:space="preserve">Zasady </w:t>
      </w:r>
      <w:r w:rsidR="00EE07F6" w:rsidRPr="00D34720">
        <w:t xml:space="preserve">odpłatności za udzielenie </w:t>
      </w:r>
      <w:r w:rsidR="000710BD" w:rsidRPr="00D34720">
        <w:t xml:space="preserve">Jednostkowych </w:t>
      </w:r>
      <w:r w:rsidR="00FD026B" w:rsidRPr="00D34720">
        <w:t>Pożyczek</w:t>
      </w:r>
    </w:p>
    <w:p w14:paraId="0AB92911" w14:textId="5FEA528D" w:rsidR="001D353E" w:rsidRPr="006D6A81" w:rsidRDefault="000710BD" w:rsidP="00D968C9">
      <w:pPr>
        <w:numPr>
          <w:ilvl w:val="0"/>
          <w:numId w:val="11"/>
        </w:numPr>
        <w:spacing w:before="40" w:after="120"/>
        <w:jc w:val="both"/>
        <w:rPr>
          <w:rFonts w:asciiTheme="minorHAnsi" w:hAnsiTheme="minorHAnsi"/>
          <w:iCs/>
          <w:lang w:eastAsia="pl-PL"/>
        </w:rPr>
      </w:pPr>
      <w:r w:rsidRPr="00C36F8B">
        <w:rPr>
          <w:rFonts w:asciiTheme="minorHAnsi" w:hAnsiTheme="minorHAnsi"/>
        </w:rPr>
        <w:t xml:space="preserve">Jednostkowe </w:t>
      </w:r>
      <w:r w:rsidR="00FD026B" w:rsidRPr="00C36F8B">
        <w:rPr>
          <w:rFonts w:asciiTheme="minorHAnsi" w:hAnsiTheme="minorHAnsi"/>
        </w:rPr>
        <w:t xml:space="preserve">Pożyczki </w:t>
      </w:r>
      <w:r w:rsidR="005C057F" w:rsidRPr="00C36F8B">
        <w:rPr>
          <w:rFonts w:asciiTheme="minorHAnsi" w:hAnsiTheme="minorHAnsi"/>
        </w:rPr>
        <w:t xml:space="preserve">udzielane </w:t>
      </w:r>
      <w:r w:rsidR="002A1F7A">
        <w:rPr>
          <w:rFonts w:asciiTheme="minorHAnsi" w:hAnsiTheme="minorHAnsi"/>
        </w:rPr>
        <w:t>Pożyczkobiorcom</w:t>
      </w:r>
      <w:r w:rsidR="005C057F" w:rsidRPr="00C36F8B">
        <w:rPr>
          <w:rFonts w:asciiTheme="minorHAnsi" w:hAnsiTheme="minorHAnsi"/>
        </w:rPr>
        <w:t xml:space="preserve"> </w:t>
      </w:r>
      <w:r w:rsidR="00EE07F6" w:rsidRPr="00C36F8B">
        <w:rPr>
          <w:rFonts w:asciiTheme="minorHAnsi" w:hAnsiTheme="minorHAnsi"/>
        </w:rPr>
        <w:t>mogą być oprocentowane</w:t>
      </w:r>
      <w:r w:rsidR="00B8014F" w:rsidRPr="00C36F8B">
        <w:rPr>
          <w:rFonts w:asciiTheme="minorHAnsi" w:hAnsiTheme="minorHAnsi"/>
        </w:rPr>
        <w:t xml:space="preserve"> na warunkach </w:t>
      </w:r>
      <w:r w:rsidR="00EE3648" w:rsidRPr="006D6A81">
        <w:rPr>
          <w:rFonts w:asciiTheme="minorHAnsi" w:hAnsiTheme="minorHAnsi"/>
          <w:iCs/>
          <w:lang w:eastAsia="pl-PL"/>
        </w:rPr>
        <w:t xml:space="preserve">korzystniejszych niż rynkowe </w:t>
      </w:r>
      <w:r w:rsidR="00D96037" w:rsidRPr="006D6A81">
        <w:rPr>
          <w:rFonts w:asciiTheme="minorHAnsi" w:hAnsiTheme="minorHAnsi"/>
          <w:iCs/>
          <w:lang w:eastAsia="pl-PL"/>
        </w:rPr>
        <w:t>albo</w:t>
      </w:r>
      <w:r w:rsidR="008E655D" w:rsidRPr="006D6A81">
        <w:rPr>
          <w:rFonts w:asciiTheme="minorHAnsi" w:hAnsiTheme="minorHAnsi"/>
          <w:iCs/>
          <w:lang w:eastAsia="pl-PL"/>
        </w:rPr>
        <w:t xml:space="preserve"> na</w:t>
      </w:r>
      <w:r w:rsidR="00EE3648" w:rsidRPr="006D6A81">
        <w:rPr>
          <w:rFonts w:asciiTheme="minorHAnsi" w:hAnsiTheme="minorHAnsi"/>
          <w:iCs/>
          <w:lang w:eastAsia="pl-PL"/>
        </w:rPr>
        <w:t xml:space="preserve"> warunkach </w:t>
      </w:r>
      <w:r w:rsidR="00B8014F" w:rsidRPr="006D6A81">
        <w:rPr>
          <w:rFonts w:asciiTheme="minorHAnsi" w:hAnsiTheme="minorHAnsi"/>
          <w:iCs/>
          <w:lang w:eastAsia="pl-PL"/>
        </w:rPr>
        <w:t>rynkowych.</w:t>
      </w:r>
    </w:p>
    <w:p w14:paraId="56747A29" w14:textId="77777777" w:rsidR="006D6A81" w:rsidRDefault="00337B7D" w:rsidP="00D968C9">
      <w:pPr>
        <w:numPr>
          <w:ilvl w:val="0"/>
          <w:numId w:val="11"/>
        </w:numPr>
        <w:spacing w:before="40" w:after="120"/>
        <w:jc w:val="both"/>
        <w:rPr>
          <w:rFonts w:asciiTheme="minorHAnsi" w:hAnsiTheme="minorHAnsi"/>
        </w:rPr>
      </w:pPr>
      <w:r w:rsidRPr="006D6A81">
        <w:rPr>
          <w:rFonts w:asciiTheme="minorHAnsi" w:hAnsiTheme="minorHAnsi"/>
          <w:iCs/>
          <w:lang w:eastAsia="pl-PL"/>
        </w:rPr>
        <w:t xml:space="preserve">Oprocentowanie </w:t>
      </w:r>
      <w:r w:rsidR="005B5E8E" w:rsidRPr="006D6A81">
        <w:rPr>
          <w:rFonts w:asciiTheme="minorHAnsi" w:hAnsiTheme="minorHAnsi"/>
          <w:iCs/>
          <w:lang w:eastAsia="pl-PL"/>
        </w:rPr>
        <w:t xml:space="preserve">Jednostkowej Pożyczki </w:t>
      </w:r>
      <w:r w:rsidRPr="006D6A81">
        <w:rPr>
          <w:rFonts w:asciiTheme="minorHAnsi" w:hAnsiTheme="minorHAnsi"/>
          <w:iCs/>
          <w:lang w:eastAsia="pl-PL"/>
        </w:rPr>
        <w:t xml:space="preserve">na </w:t>
      </w:r>
      <w:r w:rsidR="00C546EE" w:rsidRPr="006D6A81">
        <w:rPr>
          <w:rFonts w:asciiTheme="minorHAnsi" w:hAnsiTheme="minorHAnsi"/>
          <w:iCs/>
          <w:lang w:eastAsia="pl-PL"/>
        </w:rPr>
        <w:t xml:space="preserve">warunkach </w:t>
      </w:r>
      <w:r w:rsidRPr="006D6A81">
        <w:rPr>
          <w:rFonts w:asciiTheme="minorHAnsi" w:hAnsiTheme="minorHAnsi"/>
          <w:iCs/>
          <w:lang w:eastAsia="pl-PL"/>
        </w:rPr>
        <w:t>korzystniejszych niż rynkowe</w:t>
      </w:r>
      <w:r w:rsidR="009A0C30" w:rsidRPr="006D6A81">
        <w:rPr>
          <w:rFonts w:asciiTheme="minorHAnsi" w:hAnsiTheme="minorHAnsi"/>
          <w:iCs/>
          <w:lang w:eastAsia="pl-PL"/>
        </w:rPr>
        <w:t xml:space="preserve"> jest stałe w całym okresie jej obowiązywania</w:t>
      </w:r>
      <w:r w:rsidR="009A0C30" w:rsidRPr="00C36F8B">
        <w:rPr>
          <w:rFonts w:asciiTheme="minorHAnsi" w:hAnsiTheme="minorHAnsi"/>
        </w:rPr>
        <w:t xml:space="preserve"> i wynosi</w:t>
      </w:r>
      <w:r w:rsidR="009C61FB" w:rsidRPr="00C36F8B">
        <w:rPr>
          <w:rFonts w:asciiTheme="minorHAnsi" w:hAnsiTheme="minorHAnsi"/>
        </w:rPr>
        <w:t xml:space="preserve"> </w:t>
      </w:r>
      <w:r w:rsidR="004A07B8" w:rsidRPr="00C36F8B">
        <w:rPr>
          <w:rFonts w:asciiTheme="minorHAnsi" w:hAnsiTheme="minorHAnsi"/>
        </w:rPr>
        <w:t xml:space="preserve">2 </w:t>
      </w:r>
      <w:r w:rsidR="009C61FB" w:rsidRPr="00C36F8B">
        <w:rPr>
          <w:rFonts w:asciiTheme="minorHAnsi" w:hAnsiTheme="minorHAnsi"/>
        </w:rPr>
        <w:t>%</w:t>
      </w:r>
      <w:r w:rsidR="009A0C30" w:rsidRPr="00C36F8B">
        <w:rPr>
          <w:rFonts w:asciiTheme="minorHAnsi" w:hAnsiTheme="minorHAnsi"/>
        </w:rPr>
        <w:t xml:space="preserve"> w skali roku</w:t>
      </w:r>
      <w:r w:rsidR="009B17CF" w:rsidRPr="00C36F8B">
        <w:rPr>
          <w:rFonts w:asciiTheme="minorHAnsi" w:hAnsiTheme="minorHAnsi"/>
        </w:rPr>
        <w:t>,</w:t>
      </w:r>
      <w:r w:rsidR="000072D8" w:rsidRPr="00C36F8B">
        <w:rPr>
          <w:rFonts w:asciiTheme="minorHAnsi" w:hAnsiTheme="minorHAnsi"/>
        </w:rPr>
        <w:t xml:space="preserve"> z zastrzeżeniem </w:t>
      </w:r>
      <w:r w:rsidR="009B17CF" w:rsidRPr="00C36F8B">
        <w:rPr>
          <w:rFonts w:asciiTheme="minorHAnsi" w:hAnsiTheme="minorHAnsi"/>
        </w:rPr>
        <w:t xml:space="preserve">pkt </w:t>
      </w:r>
      <w:r w:rsidR="00EE3648" w:rsidRPr="00C36F8B">
        <w:rPr>
          <w:rFonts w:asciiTheme="minorHAnsi" w:hAnsiTheme="minorHAnsi"/>
        </w:rPr>
        <w:t>3</w:t>
      </w:r>
      <w:r w:rsidR="000072D8" w:rsidRPr="00C36F8B">
        <w:rPr>
          <w:rFonts w:asciiTheme="minorHAnsi" w:hAnsiTheme="minorHAnsi"/>
        </w:rPr>
        <w:t>.</w:t>
      </w:r>
    </w:p>
    <w:p w14:paraId="26B6F96C" w14:textId="20772F40" w:rsidR="006D6A81" w:rsidRDefault="000072D8" w:rsidP="00D968C9">
      <w:pPr>
        <w:numPr>
          <w:ilvl w:val="0"/>
          <w:numId w:val="11"/>
        </w:numPr>
        <w:spacing w:before="40" w:after="120"/>
        <w:jc w:val="both"/>
        <w:rPr>
          <w:rFonts w:asciiTheme="minorHAnsi" w:hAnsiTheme="minorHAnsi"/>
        </w:rPr>
      </w:pPr>
      <w:r w:rsidRPr="006D6A81">
        <w:rPr>
          <w:rFonts w:asciiTheme="minorHAnsi" w:hAnsiTheme="minorHAnsi"/>
        </w:rPr>
        <w:t xml:space="preserve">W przypadku obniżenia stopy bazowej określonej przez Komisję Europejską do poziomu poniżej </w:t>
      </w:r>
      <w:r w:rsidR="00F83021" w:rsidRPr="006D6A81">
        <w:rPr>
          <w:rFonts w:asciiTheme="minorHAnsi" w:hAnsiTheme="minorHAnsi"/>
        </w:rPr>
        <w:t>2</w:t>
      </w:r>
      <w:r w:rsidR="00C22612" w:rsidRPr="006D6A81">
        <w:rPr>
          <w:rFonts w:asciiTheme="minorHAnsi" w:hAnsiTheme="minorHAnsi"/>
        </w:rPr>
        <w:t xml:space="preserve"> </w:t>
      </w:r>
      <w:r w:rsidR="00F83021" w:rsidRPr="006D6A81">
        <w:rPr>
          <w:rFonts w:asciiTheme="minorHAnsi" w:hAnsiTheme="minorHAnsi"/>
        </w:rPr>
        <w:t>%</w:t>
      </w:r>
      <w:r w:rsidRPr="006D6A81">
        <w:rPr>
          <w:rFonts w:asciiTheme="minorHAnsi" w:hAnsiTheme="minorHAnsi"/>
        </w:rPr>
        <w:t xml:space="preserve"> oprocentowanie Jednostkowej Pożyczki udzielanej na </w:t>
      </w:r>
      <w:r w:rsidR="00784ADD" w:rsidRPr="006D6A81">
        <w:rPr>
          <w:rFonts w:asciiTheme="minorHAnsi" w:hAnsiTheme="minorHAnsi"/>
        </w:rPr>
        <w:t>warunkach</w:t>
      </w:r>
      <w:r w:rsidRPr="006D6A81">
        <w:rPr>
          <w:rFonts w:asciiTheme="minorHAnsi" w:hAnsiTheme="minorHAnsi"/>
        </w:rPr>
        <w:t xml:space="preserve"> korzystniejszych niż rynkowe jest stałe w</w:t>
      </w:r>
      <w:r w:rsidR="006033BF">
        <w:rPr>
          <w:rFonts w:asciiTheme="minorHAnsi" w:hAnsiTheme="minorHAnsi"/>
        </w:rPr>
        <w:t> </w:t>
      </w:r>
      <w:r w:rsidRPr="006D6A81">
        <w:rPr>
          <w:rFonts w:asciiTheme="minorHAnsi" w:hAnsiTheme="minorHAnsi"/>
        </w:rPr>
        <w:t>całym okresie jej obowiązywania i ustalone jest w wysokości stopy bazowej dla pożyczek udzielanych w</w:t>
      </w:r>
      <w:r w:rsidR="006033BF">
        <w:rPr>
          <w:rFonts w:asciiTheme="minorHAnsi" w:hAnsiTheme="minorHAnsi"/>
        </w:rPr>
        <w:t> </w:t>
      </w:r>
      <w:r w:rsidRPr="006D6A81">
        <w:rPr>
          <w:rFonts w:asciiTheme="minorHAnsi" w:hAnsiTheme="minorHAnsi"/>
        </w:rPr>
        <w:t>złotych polskich z dnia udzielenia, przy czym wysokość stopy bazowej określona jest przez Komisję Europejską zgodnie z Komunikatem w sprawie zmiany metody ustalania stóp referencyjnych i</w:t>
      </w:r>
      <w:r w:rsidR="006033BF">
        <w:rPr>
          <w:rFonts w:asciiTheme="minorHAnsi" w:hAnsiTheme="minorHAnsi"/>
        </w:rPr>
        <w:t> </w:t>
      </w:r>
      <w:r w:rsidRPr="006D6A81">
        <w:rPr>
          <w:rFonts w:asciiTheme="minorHAnsi" w:hAnsiTheme="minorHAnsi"/>
        </w:rPr>
        <w:t>dyskontowych nr 2008/C 14/02.</w:t>
      </w:r>
    </w:p>
    <w:p w14:paraId="7A97238D" w14:textId="77777777" w:rsidR="006D6A81" w:rsidRDefault="009B17CF" w:rsidP="00D968C9">
      <w:pPr>
        <w:numPr>
          <w:ilvl w:val="0"/>
          <w:numId w:val="11"/>
        </w:numPr>
        <w:spacing w:before="40" w:after="120"/>
        <w:jc w:val="both"/>
        <w:rPr>
          <w:rFonts w:asciiTheme="minorHAnsi" w:hAnsiTheme="minorHAnsi"/>
        </w:rPr>
      </w:pPr>
      <w:r w:rsidRPr="006D6A81">
        <w:rPr>
          <w:rFonts w:asciiTheme="minorHAnsi" w:hAnsiTheme="minorHAnsi"/>
        </w:rPr>
        <w:t xml:space="preserve">Oprocentowanie na </w:t>
      </w:r>
      <w:r w:rsidR="00C546EE" w:rsidRPr="006D6A81">
        <w:rPr>
          <w:rFonts w:asciiTheme="minorHAnsi" w:hAnsiTheme="minorHAnsi"/>
        </w:rPr>
        <w:t xml:space="preserve">warunkach </w:t>
      </w:r>
      <w:r w:rsidRPr="006D6A81">
        <w:rPr>
          <w:rFonts w:asciiTheme="minorHAnsi" w:hAnsiTheme="minorHAnsi"/>
        </w:rPr>
        <w:t>rynkowych ustalane jest w wysokości stopy referencyjnej obliczanej przy zastosowaniu obowiązującej stopy bazowej oraz marży ustalonej w oparciu o Komunikat Komisji Europejskiej z dnia 19 stycznia 2008 r. w sprawie zmiany metody ustalania stóp referencyjnych i</w:t>
      </w:r>
      <w:r w:rsidR="00BA3D1E" w:rsidRPr="006D6A81">
        <w:rPr>
          <w:rFonts w:asciiTheme="minorHAnsi" w:hAnsiTheme="minorHAnsi"/>
        </w:rPr>
        <w:t> </w:t>
      </w:r>
      <w:r w:rsidRPr="006D6A81">
        <w:rPr>
          <w:rFonts w:asciiTheme="minorHAnsi" w:hAnsiTheme="minorHAnsi"/>
        </w:rPr>
        <w:t>dyskontowych lub komunikatu zastępującego.</w:t>
      </w:r>
    </w:p>
    <w:p w14:paraId="35D4026C" w14:textId="4F5EC4E7" w:rsidR="009B17CF" w:rsidRPr="006D6A81" w:rsidRDefault="009B17CF" w:rsidP="00D968C9">
      <w:pPr>
        <w:numPr>
          <w:ilvl w:val="0"/>
          <w:numId w:val="11"/>
        </w:numPr>
        <w:spacing w:before="40" w:after="120"/>
        <w:jc w:val="both"/>
        <w:rPr>
          <w:rFonts w:asciiTheme="minorHAnsi" w:hAnsiTheme="minorHAnsi"/>
        </w:rPr>
      </w:pPr>
      <w:r w:rsidRPr="006D6A81">
        <w:rPr>
          <w:rFonts w:asciiTheme="minorHAnsi" w:hAnsiTheme="minorHAnsi"/>
        </w:rPr>
        <w:t xml:space="preserve">W ramach udzielanych Jednostkowych Pożyczek nie występują opłaty związane z udzieleniem pożyczki i jej standardową obsługą. Czynności wykraczające poza ten zakres, przede wszystkim w przypadku niewywiązywania się przez </w:t>
      </w:r>
      <w:r w:rsidR="00DE42A0">
        <w:rPr>
          <w:rFonts w:asciiTheme="minorHAnsi" w:hAnsiTheme="minorHAnsi"/>
        </w:rPr>
        <w:t xml:space="preserve">Pożyczkobiorcę </w:t>
      </w:r>
      <w:r w:rsidRPr="006D6A81">
        <w:rPr>
          <w:rFonts w:asciiTheme="minorHAnsi" w:hAnsiTheme="minorHAnsi"/>
        </w:rPr>
        <w:t>z warunków Umowy Inwestycyjnej,</w:t>
      </w:r>
      <w:r w:rsidR="006033BF">
        <w:rPr>
          <w:rFonts w:asciiTheme="minorHAnsi" w:hAnsiTheme="minorHAnsi"/>
        </w:rPr>
        <w:t xml:space="preserve"> </w:t>
      </w:r>
      <w:r w:rsidRPr="006D6A81">
        <w:rPr>
          <w:rFonts w:asciiTheme="minorHAnsi" w:hAnsiTheme="minorHAnsi"/>
        </w:rPr>
        <w:t xml:space="preserve">występowania nierozliczonych wydatków, zaległości w spłacie, konieczności podejmowania działań windykacyjnych (zgodnie z postanowieniami Umowy) mogą przyczynić się do wystąpienia dodatkowych opłat i kosztów po stronie </w:t>
      </w:r>
      <w:r w:rsidR="00DE42A0">
        <w:rPr>
          <w:rFonts w:asciiTheme="minorHAnsi" w:hAnsiTheme="minorHAnsi"/>
        </w:rPr>
        <w:t>Pożyczkobiorcy</w:t>
      </w:r>
      <w:r w:rsidRPr="006D6A81">
        <w:rPr>
          <w:rFonts w:asciiTheme="minorHAnsi" w:hAnsiTheme="minorHAnsi"/>
        </w:rPr>
        <w:t>, co P</w:t>
      </w:r>
      <w:r w:rsidR="00DE42A0">
        <w:rPr>
          <w:rFonts w:asciiTheme="minorHAnsi" w:hAnsiTheme="minorHAnsi"/>
        </w:rPr>
        <w:t>ożyczkodawca</w:t>
      </w:r>
      <w:r w:rsidRPr="006D6A81">
        <w:rPr>
          <w:rFonts w:asciiTheme="minorHAnsi" w:hAnsiTheme="minorHAnsi"/>
        </w:rPr>
        <w:t xml:space="preserve"> powinien określić w postanowieniach Umów Inwestycyjnych oraz </w:t>
      </w:r>
      <w:r w:rsidR="004A3549" w:rsidRPr="006D6A81">
        <w:rPr>
          <w:rFonts w:asciiTheme="minorHAnsi" w:hAnsiTheme="minorHAnsi"/>
        </w:rPr>
        <w:t>t</w:t>
      </w:r>
      <w:r w:rsidRPr="006D6A81">
        <w:rPr>
          <w:rFonts w:asciiTheme="minorHAnsi" w:hAnsiTheme="minorHAnsi"/>
        </w:rPr>
        <w:t>aryfie prowizji i opłat.</w:t>
      </w:r>
    </w:p>
    <w:p w14:paraId="1A360398" w14:textId="2313EB5B" w:rsidR="004103A6" w:rsidRPr="00D34720" w:rsidRDefault="004103A6" w:rsidP="00D968C9">
      <w:pPr>
        <w:pStyle w:val="Nagwek1"/>
        <w:numPr>
          <w:ilvl w:val="0"/>
          <w:numId w:val="5"/>
        </w:numPr>
      </w:pPr>
      <w:r w:rsidRPr="00D34720">
        <w:t>Szczegółowe zasady</w:t>
      </w:r>
      <w:r w:rsidR="00B47BFB" w:rsidRPr="00D34720">
        <w:t xml:space="preserve"> dotyczące</w:t>
      </w:r>
      <w:r w:rsidRPr="00D34720">
        <w:t xml:space="preserve"> przyznawania umorzeń</w:t>
      </w:r>
    </w:p>
    <w:p w14:paraId="17187CB8" w14:textId="5C534884" w:rsidR="0062183A" w:rsidRPr="006D6A81" w:rsidRDefault="009304C8" w:rsidP="00D968C9">
      <w:pPr>
        <w:numPr>
          <w:ilvl w:val="0"/>
          <w:numId w:val="12"/>
        </w:numPr>
        <w:spacing w:before="40" w:after="120"/>
        <w:jc w:val="both"/>
        <w:rPr>
          <w:rFonts w:asciiTheme="minorHAnsi" w:hAnsiTheme="minorHAnsi"/>
          <w:iCs/>
          <w:lang w:eastAsia="pl-PL"/>
        </w:rPr>
      </w:pPr>
      <w:r w:rsidRPr="006D6A81">
        <w:rPr>
          <w:rFonts w:asciiTheme="minorHAnsi" w:hAnsiTheme="minorHAnsi"/>
          <w:iCs/>
          <w:lang w:eastAsia="pl-PL"/>
        </w:rPr>
        <w:t xml:space="preserve">Podmiot ubiegający się o Jednostkową Pożyczkę </w:t>
      </w:r>
      <w:r w:rsidR="00982653" w:rsidRPr="006D6A81">
        <w:rPr>
          <w:rFonts w:asciiTheme="minorHAnsi" w:hAnsiTheme="minorHAnsi"/>
          <w:iCs/>
          <w:lang w:eastAsia="pl-PL"/>
        </w:rPr>
        <w:t xml:space="preserve">określa </w:t>
      </w:r>
      <w:r w:rsidR="00A067DF" w:rsidRPr="006D6A81">
        <w:rPr>
          <w:rFonts w:asciiTheme="minorHAnsi" w:hAnsiTheme="minorHAnsi"/>
          <w:iCs/>
          <w:lang w:eastAsia="pl-PL"/>
        </w:rPr>
        <w:t xml:space="preserve">we Wniosku kwotę </w:t>
      </w:r>
      <w:r w:rsidR="00982653" w:rsidRPr="006D6A81">
        <w:rPr>
          <w:rFonts w:asciiTheme="minorHAnsi" w:hAnsiTheme="minorHAnsi"/>
          <w:iCs/>
          <w:lang w:eastAsia="pl-PL"/>
        </w:rPr>
        <w:t>umorzenia o jaką wnioskuje</w:t>
      </w:r>
      <w:r w:rsidR="008035B9" w:rsidRPr="006D6A81">
        <w:rPr>
          <w:rFonts w:asciiTheme="minorHAnsi" w:hAnsiTheme="minorHAnsi"/>
          <w:iCs/>
          <w:lang w:eastAsia="pl-PL"/>
        </w:rPr>
        <w:t>, biorąc pod uwagę warunki jego uzyskania określone w Części II</w:t>
      </w:r>
      <w:r w:rsidR="005A1692">
        <w:rPr>
          <w:rFonts w:asciiTheme="minorHAnsi" w:hAnsiTheme="minorHAnsi"/>
          <w:iCs/>
          <w:lang w:eastAsia="pl-PL"/>
        </w:rPr>
        <w:t>.</w:t>
      </w:r>
    </w:p>
    <w:p w14:paraId="684A54F1" w14:textId="3ADD458B" w:rsidR="006D6A81" w:rsidRDefault="00A6023C" w:rsidP="00D968C9">
      <w:pPr>
        <w:numPr>
          <w:ilvl w:val="0"/>
          <w:numId w:val="12"/>
        </w:numPr>
        <w:spacing w:before="40" w:after="120"/>
        <w:jc w:val="both"/>
        <w:rPr>
          <w:rFonts w:asciiTheme="minorHAnsi" w:hAnsiTheme="minorHAnsi"/>
        </w:rPr>
      </w:pPr>
      <w:r>
        <w:rPr>
          <w:rFonts w:asciiTheme="minorHAnsi" w:hAnsiTheme="minorHAnsi"/>
          <w:iCs/>
          <w:lang w:eastAsia="pl-PL"/>
        </w:rPr>
        <w:lastRenderedPageBreak/>
        <w:t>Pożyczkodawca</w:t>
      </w:r>
      <w:r w:rsidR="00971335" w:rsidRPr="006D6A81">
        <w:rPr>
          <w:rFonts w:asciiTheme="minorHAnsi" w:hAnsiTheme="minorHAnsi"/>
          <w:iCs/>
          <w:lang w:eastAsia="pl-PL"/>
        </w:rPr>
        <w:t xml:space="preserve"> w ramach oceny dokumentacji aplikacyjnej weryfikuje </w:t>
      </w:r>
      <w:r w:rsidR="00EB217B" w:rsidRPr="006D6A81">
        <w:rPr>
          <w:rFonts w:asciiTheme="minorHAnsi" w:hAnsiTheme="minorHAnsi"/>
          <w:iCs/>
          <w:lang w:eastAsia="pl-PL"/>
        </w:rPr>
        <w:t xml:space="preserve">czy wnioskodawca spełnia </w:t>
      </w:r>
      <w:r w:rsidR="009B7EFE" w:rsidRPr="006D6A81">
        <w:rPr>
          <w:rFonts w:asciiTheme="minorHAnsi" w:hAnsiTheme="minorHAnsi"/>
          <w:iCs/>
          <w:lang w:eastAsia="pl-PL"/>
        </w:rPr>
        <w:t>warunk</w:t>
      </w:r>
      <w:r w:rsidR="00EB217B" w:rsidRPr="006D6A81">
        <w:rPr>
          <w:rFonts w:asciiTheme="minorHAnsi" w:hAnsiTheme="minorHAnsi"/>
          <w:iCs/>
          <w:lang w:eastAsia="pl-PL"/>
        </w:rPr>
        <w:t>i</w:t>
      </w:r>
      <w:r w:rsidR="009B7EFE" w:rsidRPr="00C36F8B">
        <w:rPr>
          <w:rFonts w:asciiTheme="minorHAnsi" w:hAnsiTheme="minorHAnsi"/>
        </w:rPr>
        <w:t xml:space="preserve"> </w:t>
      </w:r>
      <w:r w:rsidR="00EB217B" w:rsidRPr="00C36F8B">
        <w:rPr>
          <w:rFonts w:asciiTheme="minorHAnsi" w:hAnsiTheme="minorHAnsi"/>
        </w:rPr>
        <w:t>umożliwiając</w:t>
      </w:r>
      <w:r w:rsidR="00EB217B">
        <w:rPr>
          <w:rFonts w:asciiTheme="minorHAnsi" w:hAnsiTheme="minorHAnsi"/>
        </w:rPr>
        <w:t>e</w:t>
      </w:r>
      <w:r w:rsidR="00EB217B" w:rsidRPr="00C36F8B">
        <w:rPr>
          <w:rFonts w:asciiTheme="minorHAnsi" w:hAnsiTheme="minorHAnsi"/>
        </w:rPr>
        <w:t xml:space="preserve"> </w:t>
      </w:r>
      <w:r w:rsidR="009B7EFE" w:rsidRPr="00C36F8B">
        <w:rPr>
          <w:rFonts w:asciiTheme="minorHAnsi" w:hAnsiTheme="minorHAnsi"/>
        </w:rPr>
        <w:t>udzielenie umorzenia</w:t>
      </w:r>
      <w:r w:rsidR="0086155B" w:rsidRPr="00C36F8B">
        <w:rPr>
          <w:rFonts w:asciiTheme="minorHAnsi" w:hAnsiTheme="minorHAnsi"/>
        </w:rPr>
        <w:t>.</w:t>
      </w:r>
    </w:p>
    <w:p w14:paraId="4F99C8E2" w14:textId="77777777" w:rsidR="006D6A81" w:rsidRDefault="00EA76E1" w:rsidP="00D968C9">
      <w:pPr>
        <w:numPr>
          <w:ilvl w:val="0"/>
          <w:numId w:val="12"/>
        </w:numPr>
        <w:spacing w:before="40" w:after="120"/>
        <w:jc w:val="both"/>
        <w:rPr>
          <w:rFonts w:asciiTheme="minorHAnsi" w:hAnsiTheme="minorHAnsi"/>
        </w:rPr>
      </w:pPr>
      <w:r w:rsidRPr="006D6A81">
        <w:rPr>
          <w:rFonts w:asciiTheme="minorHAnsi" w:hAnsiTheme="minorHAnsi"/>
        </w:rPr>
        <w:t>W przypadku spełni</w:t>
      </w:r>
      <w:r w:rsidR="00287963" w:rsidRPr="006D6A81">
        <w:rPr>
          <w:rFonts w:asciiTheme="minorHAnsi" w:hAnsiTheme="minorHAnsi"/>
        </w:rPr>
        <w:t>a</w:t>
      </w:r>
      <w:r w:rsidRPr="006D6A81">
        <w:rPr>
          <w:rFonts w:asciiTheme="minorHAnsi" w:hAnsiTheme="minorHAnsi"/>
        </w:rPr>
        <w:t>nia warunk</w:t>
      </w:r>
      <w:r w:rsidR="00B537B2" w:rsidRPr="006D6A81">
        <w:rPr>
          <w:rFonts w:asciiTheme="minorHAnsi" w:hAnsiTheme="minorHAnsi"/>
        </w:rPr>
        <w:t>ów</w:t>
      </w:r>
      <w:r w:rsidR="008F373D" w:rsidRPr="006D6A81">
        <w:rPr>
          <w:rFonts w:asciiTheme="minorHAnsi" w:hAnsiTheme="minorHAnsi"/>
        </w:rPr>
        <w:t xml:space="preserve"> do</w:t>
      </w:r>
      <w:r w:rsidR="00B537B2" w:rsidRPr="006D6A81">
        <w:rPr>
          <w:rFonts w:asciiTheme="minorHAnsi" w:hAnsiTheme="minorHAnsi"/>
        </w:rPr>
        <w:t xml:space="preserve"> </w:t>
      </w:r>
      <w:r w:rsidR="00EB217B" w:rsidRPr="006D6A81">
        <w:rPr>
          <w:rFonts w:asciiTheme="minorHAnsi" w:hAnsiTheme="minorHAnsi"/>
        </w:rPr>
        <w:t xml:space="preserve">udzielenia </w:t>
      </w:r>
      <w:r w:rsidR="00B537B2" w:rsidRPr="006D6A81">
        <w:rPr>
          <w:rFonts w:asciiTheme="minorHAnsi" w:hAnsiTheme="minorHAnsi"/>
        </w:rPr>
        <w:t>umorzenia</w:t>
      </w:r>
      <w:r w:rsidR="00287963" w:rsidRPr="006D6A81">
        <w:rPr>
          <w:rFonts w:asciiTheme="minorHAnsi" w:hAnsiTheme="minorHAnsi"/>
        </w:rPr>
        <w:t>,</w:t>
      </w:r>
      <w:r w:rsidR="00B537B2" w:rsidRPr="006D6A81">
        <w:rPr>
          <w:rFonts w:asciiTheme="minorHAnsi" w:hAnsiTheme="minorHAnsi"/>
        </w:rPr>
        <w:t xml:space="preserve"> </w:t>
      </w:r>
      <w:r w:rsidR="00B253F5" w:rsidRPr="006D6A81">
        <w:rPr>
          <w:rFonts w:asciiTheme="minorHAnsi" w:hAnsiTheme="minorHAnsi"/>
        </w:rPr>
        <w:t xml:space="preserve">w Umowie Inwestycyjnej określana jest jego </w:t>
      </w:r>
      <w:r w:rsidR="00EE5EE9" w:rsidRPr="006D6A81">
        <w:rPr>
          <w:rFonts w:asciiTheme="minorHAnsi" w:hAnsiTheme="minorHAnsi"/>
        </w:rPr>
        <w:t>kwota</w:t>
      </w:r>
      <w:r w:rsidR="00586C61" w:rsidRPr="006D6A81">
        <w:rPr>
          <w:rFonts w:asciiTheme="minorHAnsi" w:hAnsiTheme="minorHAnsi"/>
        </w:rPr>
        <w:t xml:space="preserve"> jaka </w:t>
      </w:r>
      <w:r w:rsidR="00EB4AC1" w:rsidRPr="006D6A81">
        <w:rPr>
          <w:rFonts w:asciiTheme="minorHAnsi" w:hAnsiTheme="minorHAnsi"/>
        </w:rPr>
        <w:t>została</w:t>
      </w:r>
      <w:r w:rsidR="00586C61" w:rsidRPr="006D6A81">
        <w:rPr>
          <w:rFonts w:asciiTheme="minorHAnsi" w:hAnsiTheme="minorHAnsi"/>
        </w:rPr>
        <w:t xml:space="preserve"> </w:t>
      </w:r>
      <w:r w:rsidR="00B54E29" w:rsidRPr="006D6A81">
        <w:rPr>
          <w:rFonts w:asciiTheme="minorHAnsi" w:hAnsiTheme="minorHAnsi"/>
        </w:rPr>
        <w:t>przyznana w odniesieniu do danej Jednostkowej Pożyczki</w:t>
      </w:r>
      <w:r w:rsidR="00E62AB4" w:rsidRPr="006D6A81">
        <w:rPr>
          <w:rFonts w:asciiTheme="minorHAnsi" w:hAnsiTheme="minorHAnsi"/>
        </w:rPr>
        <w:t xml:space="preserve"> </w:t>
      </w:r>
      <w:r w:rsidR="009322ED" w:rsidRPr="006D6A81">
        <w:rPr>
          <w:rFonts w:asciiTheme="minorHAnsi" w:hAnsiTheme="minorHAnsi"/>
        </w:rPr>
        <w:t xml:space="preserve">i warunki </w:t>
      </w:r>
      <w:r w:rsidR="00E62AB4" w:rsidRPr="006D6A81">
        <w:rPr>
          <w:rFonts w:asciiTheme="minorHAnsi" w:hAnsiTheme="minorHAnsi"/>
        </w:rPr>
        <w:t>zastosowania</w:t>
      </w:r>
      <w:r w:rsidR="00287963" w:rsidRPr="006D6A81">
        <w:rPr>
          <w:rFonts w:asciiTheme="minorHAnsi" w:hAnsiTheme="minorHAnsi"/>
        </w:rPr>
        <w:t xml:space="preserve"> określone poniżej</w:t>
      </w:r>
      <w:r w:rsidR="005C28AC" w:rsidRPr="006D6A81">
        <w:rPr>
          <w:rFonts w:asciiTheme="minorHAnsi" w:hAnsiTheme="minorHAnsi"/>
        </w:rPr>
        <w:t>.</w:t>
      </w:r>
    </w:p>
    <w:p w14:paraId="6CA5FCDD" w14:textId="5C547EB5" w:rsidR="006D6A81" w:rsidRDefault="00A71697" w:rsidP="00D968C9">
      <w:pPr>
        <w:numPr>
          <w:ilvl w:val="0"/>
          <w:numId w:val="12"/>
        </w:numPr>
        <w:spacing w:before="40" w:after="120"/>
        <w:jc w:val="both"/>
        <w:rPr>
          <w:rFonts w:asciiTheme="minorHAnsi" w:hAnsiTheme="minorHAnsi"/>
        </w:rPr>
      </w:pPr>
      <w:r w:rsidRPr="006D6A81">
        <w:rPr>
          <w:rFonts w:asciiTheme="minorHAnsi" w:hAnsiTheme="minorHAnsi"/>
        </w:rPr>
        <w:t xml:space="preserve">Umorzenie </w:t>
      </w:r>
      <w:r w:rsidR="00B54E29" w:rsidRPr="006D6A81">
        <w:rPr>
          <w:rFonts w:asciiTheme="minorHAnsi" w:hAnsiTheme="minorHAnsi"/>
        </w:rPr>
        <w:t>stanowi pomoc</w:t>
      </w:r>
      <w:r w:rsidR="00DF3E51" w:rsidRPr="006D6A81">
        <w:rPr>
          <w:rFonts w:asciiTheme="minorHAnsi" w:hAnsiTheme="minorHAnsi"/>
        </w:rPr>
        <w:t xml:space="preserve"> de minimis albo</w:t>
      </w:r>
      <w:r w:rsidR="00114AF7" w:rsidRPr="006D6A81">
        <w:rPr>
          <w:rFonts w:asciiTheme="minorHAnsi" w:hAnsiTheme="minorHAnsi"/>
        </w:rPr>
        <w:t xml:space="preserve"> pomoc publiczną</w:t>
      </w:r>
      <w:r w:rsidR="00F273B3" w:rsidRPr="006D6A81">
        <w:rPr>
          <w:rFonts w:asciiTheme="minorHAnsi" w:hAnsiTheme="minorHAnsi"/>
        </w:rPr>
        <w:t>, która może być udzielona, jeżeli</w:t>
      </w:r>
      <w:r w:rsidRPr="006D6A81">
        <w:rPr>
          <w:rFonts w:asciiTheme="minorHAnsi" w:hAnsiTheme="minorHAnsi"/>
        </w:rPr>
        <w:t xml:space="preserve"> spełnione</w:t>
      </w:r>
      <w:r w:rsidR="00F273B3" w:rsidRPr="006D6A81">
        <w:rPr>
          <w:rFonts w:asciiTheme="minorHAnsi" w:hAnsiTheme="minorHAnsi"/>
        </w:rPr>
        <w:t xml:space="preserve"> są warunki przewidziane dla danej</w:t>
      </w:r>
      <w:r w:rsidRPr="006D6A81">
        <w:rPr>
          <w:rFonts w:asciiTheme="minorHAnsi" w:hAnsiTheme="minorHAnsi"/>
        </w:rPr>
        <w:t xml:space="preserve"> pomocy.</w:t>
      </w:r>
      <w:r w:rsidR="00F273B3" w:rsidRPr="006D6A81">
        <w:rPr>
          <w:rFonts w:asciiTheme="minorHAnsi" w:hAnsiTheme="minorHAnsi"/>
        </w:rPr>
        <w:t xml:space="preserve"> </w:t>
      </w:r>
      <w:r w:rsidR="00E741D9" w:rsidRPr="006D6A81">
        <w:rPr>
          <w:rFonts w:asciiTheme="minorHAnsi" w:hAnsiTheme="minorHAnsi"/>
        </w:rPr>
        <w:t>Kwota umor</w:t>
      </w:r>
      <w:r w:rsidR="00545B21" w:rsidRPr="006D6A81">
        <w:rPr>
          <w:rFonts w:asciiTheme="minorHAnsi" w:hAnsiTheme="minorHAnsi"/>
        </w:rPr>
        <w:t>zenia stanowi jednocześnie wartość</w:t>
      </w:r>
      <w:r w:rsidR="00E741D9" w:rsidRPr="006D6A81">
        <w:rPr>
          <w:rFonts w:asciiTheme="minorHAnsi" w:hAnsiTheme="minorHAnsi"/>
        </w:rPr>
        <w:t xml:space="preserve"> udzielonej z</w:t>
      </w:r>
      <w:r w:rsidR="0004618D">
        <w:rPr>
          <w:rFonts w:asciiTheme="minorHAnsi" w:hAnsiTheme="minorHAnsi"/>
        </w:rPr>
        <w:t> </w:t>
      </w:r>
      <w:r w:rsidR="00E741D9" w:rsidRPr="006D6A81">
        <w:rPr>
          <w:rFonts w:asciiTheme="minorHAnsi" w:hAnsiTheme="minorHAnsi"/>
        </w:rPr>
        <w:t>tego tytułu pomocy</w:t>
      </w:r>
      <w:r w:rsidR="00545B21" w:rsidRPr="006D6A81">
        <w:rPr>
          <w:rFonts w:asciiTheme="minorHAnsi" w:hAnsiTheme="minorHAnsi"/>
        </w:rPr>
        <w:t>.</w:t>
      </w:r>
      <w:r w:rsidR="00CA2A58" w:rsidRPr="006D6A81">
        <w:rPr>
          <w:rFonts w:asciiTheme="minorHAnsi" w:hAnsiTheme="minorHAnsi"/>
        </w:rPr>
        <w:t xml:space="preserve"> </w:t>
      </w:r>
      <w:r w:rsidR="00A6023C">
        <w:rPr>
          <w:rFonts w:asciiTheme="minorHAnsi" w:hAnsiTheme="minorHAnsi"/>
        </w:rPr>
        <w:t>Pożyczkobiorca</w:t>
      </w:r>
      <w:r w:rsidR="00C907D8" w:rsidRPr="006D6A81">
        <w:rPr>
          <w:rFonts w:asciiTheme="minorHAnsi" w:hAnsiTheme="minorHAnsi"/>
        </w:rPr>
        <w:t xml:space="preserve"> uzyskuje p</w:t>
      </w:r>
      <w:r w:rsidR="00CA2A58" w:rsidRPr="006D6A81">
        <w:rPr>
          <w:rFonts w:asciiTheme="minorHAnsi" w:hAnsiTheme="minorHAnsi"/>
        </w:rPr>
        <w:t xml:space="preserve">rawo do otrzymania pomocy w formie umorzenia </w:t>
      </w:r>
      <w:r w:rsidR="00C907D8" w:rsidRPr="006D6A81">
        <w:rPr>
          <w:rFonts w:asciiTheme="minorHAnsi" w:hAnsiTheme="minorHAnsi"/>
        </w:rPr>
        <w:t>na podstawie zawartej</w:t>
      </w:r>
      <w:r w:rsidR="00F05191" w:rsidRPr="006D6A81">
        <w:rPr>
          <w:rFonts w:asciiTheme="minorHAnsi" w:hAnsiTheme="minorHAnsi"/>
        </w:rPr>
        <w:t xml:space="preserve"> Umowy Inwestycyjnej, z zastrzeżeniem pkt. </w:t>
      </w:r>
      <w:r w:rsidR="00D67E22" w:rsidRPr="006D6A81">
        <w:rPr>
          <w:rFonts w:asciiTheme="minorHAnsi" w:hAnsiTheme="minorHAnsi"/>
        </w:rPr>
        <w:t xml:space="preserve">6 i </w:t>
      </w:r>
      <w:r w:rsidR="00F05191" w:rsidRPr="006D6A81">
        <w:rPr>
          <w:rFonts w:asciiTheme="minorHAnsi" w:hAnsiTheme="minorHAnsi"/>
        </w:rPr>
        <w:t>7.</w:t>
      </w:r>
    </w:p>
    <w:p w14:paraId="2FCA20F9" w14:textId="43437D05" w:rsidR="006D6A81" w:rsidRDefault="00641DC3" w:rsidP="00D968C9">
      <w:pPr>
        <w:numPr>
          <w:ilvl w:val="0"/>
          <w:numId w:val="12"/>
        </w:numPr>
        <w:spacing w:before="40" w:after="120"/>
        <w:jc w:val="both"/>
        <w:rPr>
          <w:rFonts w:asciiTheme="minorHAnsi" w:hAnsiTheme="minorHAnsi"/>
        </w:rPr>
      </w:pPr>
      <w:r w:rsidRPr="006D6A81">
        <w:rPr>
          <w:rFonts w:asciiTheme="minorHAnsi" w:hAnsiTheme="minorHAnsi"/>
        </w:rPr>
        <w:t>Z zastrzeżeniem pkt. 6</w:t>
      </w:r>
      <w:r w:rsidR="006D0934" w:rsidRPr="006D6A81">
        <w:rPr>
          <w:rFonts w:asciiTheme="minorHAnsi" w:hAnsiTheme="minorHAnsi"/>
        </w:rPr>
        <w:t>,</w:t>
      </w:r>
      <w:r w:rsidRPr="006D6A81">
        <w:rPr>
          <w:rFonts w:asciiTheme="minorHAnsi" w:hAnsiTheme="minorHAnsi"/>
        </w:rPr>
        <w:t xml:space="preserve"> </w:t>
      </w:r>
      <w:r w:rsidR="00A6023C" w:rsidRPr="006D6A81">
        <w:rPr>
          <w:rFonts w:asciiTheme="minorHAnsi" w:hAnsiTheme="minorHAnsi"/>
        </w:rPr>
        <w:t>P</w:t>
      </w:r>
      <w:r w:rsidR="00A6023C">
        <w:rPr>
          <w:rFonts w:asciiTheme="minorHAnsi" w:hAnsiTheme="minorHAnsi"/>
        </w:rPr>
        <w:t>ożyczkodawca</w:t>
      </w:r>
      <w:r w:rsidR="00EB217B" w:rsidRPr="006D6A81">
        <w:rPr>
          <w:rFonts w:asciiTheme="minorHAnsi" w:hAnsiTheme="minorHAnsi"/>
        </w:rPr>
        <w:t xml:space="preserve"> dokonuje </w:t>
      </w:r>
      <w:r w:rsidR="006D0934" w:rsidRPr="006D6A81">
        <w:rPr>
          <w:rFonts w:asciiTheme="minorHAnsi" w:hAnsiTheme="minorHAnsi"/>
        </w:rPr>
        <w:t>u</w:t>
      </w:r>
      <w:r w:rsidR="00DF3E51" w:rsidRPr="006D6A81">
        <w:rPr>
          <w:rFonts w:asciiTheme="minorHAnsi" w:hAnsiTheme="minorHAnsi"/>
        </w:rPr>
        <w:t>morzeni</w:t>
      </w:r>
      <w:r w:rsidR="00EB217B" w:rsidRPr="006D6A81">
        <w:rPr>
          <w:rFonts w:asciiTheme="minorHAnsi" w:hAnsiTheme="minorHAnsi"/>
        </w:rPr>
        <w:t>a</w:t>
      </w:r>
      <w:r w:rsidR="00DF3E51" w:rsidRPr="006D6A81">
        <w:rPr>
          <w:rFonts w:asciiTheme="minorHAnsi" w:hAnsiTheme="minorHAnsi"/>
        </w:rPr>
        <w:t xml:space="preserve"> </w:t>
      </w:r>
      <w:r w:rsidR="00A31494" w:rsidRPr="006D6A81">
        <w:rPr>
          <w:rFonts w:asciiTheme="minorHAnsi" w:hAnsiTheme="minorHAnsi"/>
        </w:rPr>
        <w:t>ustalonej</w:t>
      </w:r>
      <w:r w:rsidR="006D0934" w:rsidRPr="006D6A81">
        <w:rPr>
          <w:rFonts w:asciiTheme="minorHAnsi" w:hAnsiTheme="minorHAnsi"/>
        </w:rPr>
        <w:t xml:space="preserve"> w Umowie Inwestycyjnej</w:t>
      </w:r>
      <w:r w:rsidR="00A31494" w:rsidRPr="006D6A81">
        <w:rPr>
          <w:rFonts w:asciiTheme="minorHAnsi" w:hAnsiTheme="minorHAnsi"/>
        </w:rPr>
        <w:t xml:space="preserve"> </w:t>
      </w:r>
      <w:r w:rsidR="00FA0437" w:rsidRPr="006D6A81">
        <w:rPr>
          <w:rFonts w:asciiTheme="minorHAnsi" w:hAnsiTheme="minorHAnsi"/>
        </w:rPr>
        <w:t>kwoty</w:t>
      </w:r>
      <w:r w:rsidR="00DF3E51" w:rsidRPr="006D6A81">
        <w:rPr>
          <w:rFonts w:asciiTheme="minorHAnsi" w:hAnsiTheme="minorHAnsi"/>
        </w:rPr>
        <w:t xml:space="preserve"> kapitału</w:t>
      </w:r>
      <w:r w:rsidR="00A31494" w:rsidRPr="006D6A81">
        <w:rPr>
          <w:rFonts w:asciiTheme="minorHAnsi" w:hAnsiTheme="minorHAnsi"/>
        </w:rPr>
        <w:t xml:space="preserve"> Jednostkowej Pożyczki </w:t>
      </w:r>
      <w:r w:rsidR="00DF3E51" w:rsidRPr="006D6A81">
        <w:rPr>
          <w:rFonts w:asciiTheme="minorHAnsi" w:hAnsiTheme="minorHAnsi"/>
        </w:rPr>
        <w:t>po zakończeniu</w:t>
      </w:r>
      <w:r w:rsidR="00A31494" w:rsidRPr="006D6A81">
        <w:rPr>
          <w:rFonts w:asciiTheme="minorHAnsi" w:hAnsiTheme="minorHAnsi"/>
        </w:rPr>
        <w:t xml:space="preserve"> realizacji I</w:t>
      </w:r>
      <w:r w:rsidR="00DF3E51" w:rsidRPr="006D6A81">
        <w:rPr>
          <w:rFonts w:asciiTheme="minorHAnsi" w:hAnsiTheme="minorHAnsi"/>
        </w:rPr>
        <w:t>nwestycji</w:t>
      </w:r>
      <w:r w:rsidR="00A31494" w:rsidRPr="006D6A81">
        <w:rPr>
          <w:rFonts w:asciiTheme="minorHAnsi" w:hAnsiTheme="minorHAnsi"/>
        </w:rPr>
        <w:t xml:space="preserve"> Końcowej</w:t>
      </w:r>
      <w:r w:rsidR="009314C7" w:rsidRPr="006D6A81">
        <w:rPr>
          <w:rFonts w:asciiTheme="minorHAnsi" w:hAnsiTheme="minorHAnsi"/>
        </w:rPr>
        <w:t>,</w:t>
      </w:r>
      <w:r w:rsidR="00945A40" w:rsidRPr="006D6A81">
        <w:rPr>
          <w:rFonts w:asciiTheme="minorHAnsi" w:hAnsiTheme="minorHAnsi"/>
        </w:rPr>
        <w:t xml:space="preserve"> przedstawieniu przez </w:t>
      </w:r>
      <w:r w:rsidR="00A6023C">
        <w:rPr>
          <w:rFonts w:asciiTheme="minorHAnsi" w:hAnsiTheme="minorHAnsi"/>
        </w:rPr>
        <w:t>Pożyczkobiorcę</w:t>
      </w:r>
      <w:r w:rsidR="00945A40" w:rsidRPr="006D6A81">
        <w:rPr>
          <w:rFonts w:asciiTheme="minorHAnsi" w:hAnsiTheme="minorHAnsi"/>
        </w:rPr>
        <w:t xml:space="preserve"> </w:t>
      </w:r>
      <w:r w:rsidR="00881DF4" w:rsidRPr="006D6A81">
        <w:rPr>
          <w:rFonts w:asciiTheme="minorHAnsi" w:hAnsiTheme="minorHAnsi"/>
        </w:rPr>
        <w:t>dokumentów potwierdzających wydatkowanie środków zgodnie z</w:t>
      </w:r>
      <w:r w:rsidR="00BA3D1E" w:rsidRPr="006D6A81">
        <w:rPr>
          <w:rFonts w:asciiTheme="minorHAnsi" w:hAnsiTheme="minorHAnsi"/>
        </w:rPr>
        <w:t> </w:t>
      </w:r>
      <w:r w:rsidR="00881DF4" w:rsidRPr="006D6A81">
        <w:rPr>
          <w:rFonts w:asciiTheme="minorHAnsi" w:hAnsiTheme="minorHAnsi"/>
        </w:rPr>
        <w:t>przeznaczeniem</w:t>
      </w:r>
      <w:r w:rsidR="00593C95" w:rsidRPr="006D6A81">
        <w:rPr>
          <w:rFonts w:asciiTheme="minorHAnsi" w:hAnsiTheme="minorHAnsi"/>
        </w:rPr>
        <w:t xml:space="preserve"> (oraz ewentualnych innych dokumentów – jeśli dotyczy)</w:t>
      </w:r>
      <w:r w:rsidR="00DF3E51" w:rsidRPr="006D6A81">
        <w:rPr>
          <w:rFonts w:asciiTheme="minorHAnsi" w:hAnsiTheme="minorHAnsi"/>
        </w:rPr>
        <w:t xml:space="preserve"> </w:t>
      </w:r>
      <w:r w:rsidR="00881DF4" w:rsidRPr="006D6A81">
        <w:rPr>
          <w:rFonts w:asciiTheme="minorHAnsi" w:hAnsiTheme="minorHAnsi"/>
        </w:rPr>
        <w:t xml:space="preserve">i </w:t>
      </w:r>
      <w:r w:rsidR="00DF3E51" w:rsidRPr="006D6A81">
        <w:rPr>
          <w:rFonts w:asciiTheme="minorHAnsi" w:hAnsiTheme="minorHAnsi"/>
        </w:rPr>
        <w:t>zweryfikowaniu kwalifikowalności</w:t>
      </w:r>
      <w:r w:rsidR="00881DF4" w:rsidRPr="006D6A81">
        <w:rPr>
          <w:rFonts w:asciiTheme="minorHAnsi" w:hAnsiTheme="minorHAnsi"/>
        </w:rPr>
        <w:t xml:space="preserve"> tych wydatków przez P</w:t>
      </w:r>
      <w:r w:rsidR="00A6023C">
        <w:rPr>
          <w:rFonts w:asciiTheme="minorHAnsi" w:hAnsiTheme="minorHAnsi"/>
        </w:rPr>
        <w:t>ożyczkodawcę.</w:t>
      </w:r>
      <w:r w:rsidR="00EA3333" w:rsidRPr="006D6A81">
        <w:rPr>
          <w:rFonts w:asciiTheme="minorHAnsi" w:hAnsiTheme="minorHAnsi"/>
        </w:rPr>
        <w:t xml:space="preserve"> </w:t>
      </w:r>
      <w:r w:rsidR="00EA3333" w:rsidRPr="00DE42A0">
        <w:rPr>
          <w:rFonts w:asciiTheme="minorHAnsi" w:hAnsiTheme="minorHAnsi"/>
        </w:rPr>
        <w:t>W przypadku zastosowania umorze</w:t>
      </w:r>
      <w:r w:rsidR="00104F98" w:rsidRPr="00DE42A0">
        <w:rPr>
          <w:rFonts w:asciiTheme="minorHAnsi" w:hAnsiTheme="minorHAnsi"/>
        </w:rPr>
        <w:t>nia</w:t>
      </w:r>
      <w:r w:rsidR="00EA3333" w:rsidRPr="00DE42A0">
        <w:rPr>
          <w:rFonts w:asciiTheme="minorHAnsi" w:hAnsiTheme="minorHAnsi"/>
        </w:rPr>
        <w:t xml:space="preserve"> o który</w:t>
      </w:r>
      <w:r w:rsidR="002E7001" w:rsidRPr="00DE42A0">
        <w:rPr>
          <w:rFonts w:asciiTheme="minorHAnsi" w:hAnsiTheme="minorHAnsi"/>
        </w:rPr>
        <w:t>m</w:t>
      </w:r>
      <w:r w:rsidR="00EA3333" w:rsidRPr="00DE42A0">
        <w:rPr>
          <w:rFonts w:asciiTheme="minorHAnsi" w:hAnsiTheme="minorHAnsi"/>
        </w:rPr>
        <w:t xml:space="preserve"> mowa w </w:t>
      </w:r>
      <w:r w:rsidR="00104F98" w:rsidRPr="00DE42A0">
        <w:rPr>
          <w:rFonts w:asciiTheme="minorHAnsi" w:hAnsiTheme="minorHAnsi"/>
        </w:rPr>
        <w:t xml:space="preserve">Części </w:t>
      </w:r>
      <w:r w:rsidR="00EA3333" w:rsidRPr="00DE42A0">
        <w:rPr>
          <w:rFonts w:asciiTheme="minorHAnsi" w:hAnsiTheme="minorHAnsi"/>
        </w:rPr>
        <w:t xml:space="preserve"> </w:t>
      </w:r>
      <w:r w:rsidR="00104F98" w:rsidRPr="00DE42A0">
        <w:rPr>
          <w:rFonts w:asciiTheme="minorHAnsi" w:hAnsiTheme="minorHAnsi"/>
        </w:rPr>
        <w:t xml:space="preserve">II  pkt. 1. ppkt. </w:t>
      </w:r>
      <w:r w:rsidR="00C35987">
        <w:rPr>
          <w:rFonts w:asciiTheme="minorHAnsi" w:hAnsiTheme="minorHAnsi"/>
        </w:rPr>
        <w:t>1 lit</w:t>
      </w:r>
      <w:r w:rsidR="0004618D">
        <w:rPr>
          <w:rFonts w:asciiTheme="minorHAnsi" w:hAnsiTheme="minorHAnsi"/>
        </w:rPr>
        <w:t> </w:t>
      </w:r>
      <w:r w:rsidR="00C35987">
        <w:rPr>
          <w:rFonts w:asciiTheme="minorHAnsi" w:hAnsiTheme="minorHAnsi"/>
        </w:rPr>
        <w:t>b,</w:t>
      </w:r>
      <w:r w:rsidR="0004618D">
        <w:rPr>
          <w:rFonts w:asciiTheme="minorHAnsi" w:hAnsiTheme="minorHAnsi"/>
        </w:rPr>
        <w:t xml:space="preserve"> </w:t>
      </w:r>
      <w:r w:rsidR="00C35987">
        <w:rPr>
          <w:rFonts w:asciiTheme="minorHAnsi" w:hAnsiTheme="minorHAnsi"/>
        </w:rPr>
        <w:t>c</w:t>
      </w:r>
      <w:r w:rsidR="00104F98" w:rsidRPr="00DE42A0">
        <w:rPr>
          <w:rFonts w:asciiTheme="minorHAnsi" w:hAnsiTheme="minorHAnsi"/>
        </w:rPr>
        <w:t xml:space="preserve">  dokonanie umorzenia nastąpi </w:t>
      </w:r>
      <w:r w:rsidR="00E66E8D" w:rsidRPr="00DE42A0">
        <w:rPr>
          <w:rFonts w:asciiTheme="minorHAnsi" w:hAnsiTheme="minorHAnsi"/>
        </w:rPr>
        <w:t>12 miesięcy od zakończenia inwestycji.</w:t>
      </w:r>
    </w:p>
    <w:p w14:paraId="69562E6E" w14:textId="7A87335B" w:rsidR="00FA0437" w:rsidRPr="006D6A81" w:rsidRDefault="00FA0437" w:rsidP="00D968C9">
      <w:pPr>
        <w:numPr>
          <w:ilvl w:val="0"/>
          <w:numId w:val="12"/>
        </w:numPr>
        <w:spacing w:before="40" w:after="120"/>
        <w:jc w:val="both"/>
        <w:rPr>
          <w:rFonts w:asciiTheme="minorHAnsi" w:hAnsiTheme="minorHAnsi"/>
        </w:rPr>
      </w:pPr>
      <w:r w:rsidRPr="006D6A81">
        <w:rPr>
          <w:rFonts w:asciiTheme="minorHAnsi" w:hAnsiTheme="minorHAnsi"/>
        </w:rPr>
        <w:t>W przypadku gdy:</w:t>
      </w:r>
    </w:p>
    <w:p w14:paraId="0C8E7E35" w14:textId="4EED636E" w:rsidR="008605E8" w:rsidRPr="00C36F8B" w:rsidRDefault="008605E8" w:rsidP="00D968C9">
      <w:pPr>
        <w:pStyle w:val="Akapitzlist"/>
        <w:numPr>
          <w:ilvl w:val="3"/>
          <w:numId w:val="2"/>
        </w:numPr>
        <w:tabs>
          <w:tab w:val="left" w:pos="567"/>
        </w:tabs>
        <w:ind w:left="851" w:hanging="284"/>
        <w:jc w:val="both"/>
        <w:rPr>
          <w:rFonts w:asciiTheme="minorHAnsi" w:hAnsiTheme="minorHAnsi"/>
        </w:rPr>
      </w:pPr>
      <w:r w:rsidRPr="00C36F8B">
        <w:rPr>
          <w:rFonts w:asciiTheme="minorHAnsi" w:hAnsiTheme="minorHAnsi"/>
        </w:rPr>
        <w:t>n</w:t>
      </w:r>
      <w:r w:rsidR="00FA0437" w:rsidRPr="00C36F8B">
        <w:rPr>
          <w:rFonts w:asciiTheme="minorHAnsi" w:hAnsiTheme="minorHAnsi"/>
        </w:rPr>
        <w:t xml:space="preserve">ie dojdzie do wypłaty całej </w:t>
      </w:r>
      <w:r w:rsidR="00C03D30" w:rsidRPr="00C36F8B">
        <w:rPr>
          <w:rFonts w:asciiTheme="minorHAnsi" w:hAnsiTheme="minorHAnsi"/>
        </w:rPr>
        <w:t xml:space="preserve">kwoty </w:t>
      </w:r>
      <w:r w:rsidRPr="00C36F8B">
        <w:rPr>
          <w:rFonts w:asciiTheme="minorHAnsi" w:hAnsiTheme="minorHAnsi"/>
        </w:rPr>
        <w:t>J</w:t>
      </w:r>
      <w:r w:rsidR="00FA0437" w:rsidRPr="00C36F8B">
        <w:rPr>
          <w:rFonts w:asciiTheme="minorHAnsi" w:hAnsiTheme="minorHAnsi"/>
        </w:rPr>
        <w:t>ednostkowej Poży</w:t>
      </w:r>
      <w:r w:rsidRPr="00C36F8B">
        <w:rPr>
          <w:rFonts w:asciiTheme="minorHAnsi" w:hAnsiTheme="minorHAnsi"/>
        </w:rPr>
        <w:t>czki</w:t>
      </w:r>
      <w:r w:rsidR="00211D69" w:rsidRPr="00C36F8B">
        <w:rPr>
          <w:rFonts w:asciiTheme="minorHAnsi" w:hAnsiTheme="minorHAnsi"/>
        </w:rPr>
        <w:t>,</w:t>
      </w:r>
    </w:p>
    <w:p w14:paraId="31BE5A4A" w14:textId="416C64D3" w:rsidR="00633186" w:rsidRPr="00C36F8B" w:rsidRDefault="00A6023C" w:rsidP="00D968C9">
      <w:pPr>
        <w:pStyle w:val="Akapitzlist"/>
        <w:numPr>
          <w:ilvl w:val="3"/>
          <w:numId w:val="2"/>
        </w:numPr>
        <w:tabs>
          <w:tab w:val="left" w:pos="567"/>
        </w:tabs>
        <w:ind w:left="851" w:hanging="284"/>
        <w:jc w:val="both"/>
        <w:rPr>
          <w:rFonts w:asciiTheme="minorHAnsi" w:hAnsiTheme="minorHAnsi"/>
        </w:rPr>
      </w:pPr>
      <w:r>
        <w:rPr>
          <w:rFonts w:asciiTheme="minorHAnsi" w:hAnsiTheme="minorHAnsi"/>
        </w:rPr>
        <w:t>Pożyczkobiorca</w:t>
      </w:r>
      <w:r w:rsidR="008605E8" w:rsidRPr="00C36F8B">
        <w:rPr>
          <w:rFonts w:asciiTheme="minorHAnsi" w:hAnsiTheme="minorHAnsi"/>
        </w:rPr>
        <w:t xml:space="preserve"> nie wykorzysta </w:t>
      </w:r>
      <w:r w:rsidR="00C86510" w:rsidRPr="00C36F8B">
        <w:rPr>
          <w:rFonts w:asciiTheme="minorHAnsi" w:hAnsiTheme="minorHAnsi"/>
        </w:rPr>
        <w:t xml:space="preserve">części wypłaconych na jego rzecz </w:t>
      </w:r>
      <w:r w:rsidR="00211D69" w:rsidRPr="00C36F8B">
        <w:rPr>
          <w:rFonts w:asciiTheme="minorHAnsi" w:hAnsiTheme="minorHAnsi"/>
        </w:rPr>
        <w:t>środków</w:t>
      </w:r>
      <w:r w:rsidR="00C86510" w:rsidRPr="00C36F8B">
        <w:rPr>
          <w:rFonts w:asciiTheme="minorHAnsi" w:hAnsiTheme="minorHAnsi"/>
        </w:rPr>
        <w:t xml:space="preserve"> Jednostkowej Pożyczki</w:t>
      </w:r>
      <w:r w:rsidR="00211D69" w:rsidRPr="00C36F8B">
        <w:rPr>
          <w:rFonts w:asciiTheme="minorHAnsi" w:hAnsiTheme="minorHAnsi"/>
        </w:rPr>
        <w:t>,</w:t>
      </w:r>
    </w:p>
    <w:p w14:paraId="73EFBBD2" w14:textId="5617DE4E" w:rsidR="00211D69" w:rsidRPr="00C36F8B" w:rsidRDefault="00633186" w:rsidP="00D968C9">
      <w:pPr>
        <w:pStyle w:val="Akapitzlist"/>
        <w:numPr>
          <w:ilvl w:val="3"/>
          <w:numId w:val="2"/>
        </w:numPr>
        <w:tabs>
          <w:tab w:val="left" w:pos="567"/>
        </w:tabs>
        <w:spacing w:after="0"/>
        <w:ind w:left="851" w:hanging="284"/>
        <w:jc w:val="both"/>
        <w:rPr>
          <w:rFonts w:asciiTheme="minorHAnsi" w:hAnsiTheme="minorHAnsi"/>
        </w:rPr>
      </w:pPr>
      <w:r w:rsidRPr="00C36F8B">
        <w:rPr>
          <w:rFonts w:asciiTheme="minorHAnsi" w:hAnsiTheme="minorHAnsi"/>
        </w:rPr>
        <w:t>część wydatków poniesionych w ramach Jednostkowej Pożyczki nie będzie spełniała Zasad Kwalifikowalności</w:t>
      </w:r>
      <w:r w:rsidR="00211D69" w:rsidRPr="00C36F8B">
        <w:rPr>
          <w:rFonts w:asciiTheme="minorHAnsi" w:hAnsiTheme="minorHAnsi"/>
        </w:rPr>
        <w:t>,</w:t>
      </w:r>
    </w:p>
    <w:p w14:paraId="3662D851" w14:textId="77777777" w:rsidR="006629B7" w:rsidRPr="00C36F8B" w:rsidRDefault="00C03D30" w:rsidP="00EE64F1">
      <w:pPr>
        <w:pStyle w:val="Akapitzlist"/>
        <w:tabs>
          <w:tab w:val="left" w:pos="426"/>
        </w:tabs>
        <w:spacing w:after="120" w:line="23" w:lineRule="atLeast"/>
        <w:ind w:left="357"/>
        <w:contextualSpacing w:val="0"/>
        <w:jc w:val="both"/>
        <w:rPr>
          <w:rFonts w:asciiTheme="minorHAnsi" w:hAnsiTheme="minorHAnsi"/>
        </w:rPr>
      </w:pPr>
      <w:r w:rsidRPr="00C36F8B">
        <w:rPr>
          <w:rFonts w:asciiTheme="minorHAnsi" w:hAnsiTheme="minorHAnsi"/>
        </w:rPr>
        <w:t xml:space="preserve">- kwota </w:t>
      </w:r>
      <w:r w:rsidR="003A5B8F" w:rsidRPr="00C36F8B">
        <w:rPr>
          <w:rFonts w:asciiTheme="minorHAnsi" w:hAnsiTheme="minorHAnsi"/>
        </w:rPr>
        <w:t xml:space="preserve">umorzenia </w:t>
      </w:r>
      <w:r w:rsidR="00AC4037" w:rsidRPr="00C36F8B">
        <w:rPr>
          <w:rFonts w:asciiTheme="minorHAnsi" w:hAnsiTheme="minorHAnsi"/>
        </w:rPr>
        <w:t xml:space="preserve">ulega odpowiedniemu obniżeniu i jest ustalana w oparciu o kwotę Jednostkowej Pożyczki wypłaconej </w:t>
      </w:r>
      <w:r w:rsidR="00C13980" w:rsidRPr="00C36F8B">
        <w:rPr>
          <w:rFonts w:asciiTheme="minorHAnsi" w:hAnsiTheme="minorHAnsi"/>
        </w:rPr>
        <w:t>i wykorzystanej na wydatki spełniające Zasady Kwalifikowalności</w:t>
      </w:r>
      <w:r w:rsidR="00376D87" w:rsidRPr="00C36F8B">
        <w:rPr>
          <w:rFonts w:asciiTheme="minorHAnsi" w:hAnsiTheme="minorHAnsi"/>
        </w:rPr>
        <w:t>, chyba że</w:t>
      </w:r>
      <w:r w:rsidR="00FF607D" w:rsidRPr="00C36F8B">
        <w:rPr>
          <w:rFonts w:asciiTheme="minorHAnsi" w:hAnsiTheme="minorHAnsi"/>
        </w:rPr>
        <w:t>,</w:t>
      </w:r>
      <w:r w:rsidR="00376D87" w:rsidRPr="00C36F8B">
        <w:rPr>
          <w:rFonts w:asciiTheme="minorHAnsi" w:hAnsiTheme="minorHAnsi"/>
        </w:rPr>
        <w:t xml:space="preserve"> ze względu na okoliczności wskazane w </w:t>
      </w:r>
      <w:r w:rsidR="00882001" w:rsidRPr="00C36F8B">
        <w:rPr>
          <w:rFonts w:asciiTheme="minorHAnsi" w:hAnsiTheme="minorHAnsi"/>
        </w:rPr>
        <w:t>lit</w:t>
      </w:r>
      <w:r w:rsidR="00F41BB7" w:rsidRPr="00C36F8B">
        <w:rPr>
          <w:rFonts w:asciiTheme="minorHAnsi" w:hAnsiTheme="minorHAnsi"/>
        </w:rPr>
        <w:t>.</w:t>
      </w:r>
      <w:r w:rsidR="00882001" w:rsidRPr="00C36F8B">
        <w:rPr>
          <w:rFonts w:asciiTheme="minorHAnsi" w:hAnsiTheme="minorHAnsi"/>
        </w:rPr>
        <w:t xml:space="preserve"> a</w:t>
      </w:r>
      <w:r w:rsidR="00F41BB7" w:rsidRPr="00C36F8B">
        <w:rPr>
          <w:rFonts w:asciiTheme="minorHAnsi" w:hAnsiTheme="minorHAnsi"/>
        </w:rPr>
        <w:t>-</w:t>
      </w:r>
      <w:r w:rsidR="00882001" w:rsidRPr="00C36F8B">
        <w:rPr>
          <w:rFonts w:asciiTheme="minorHAnsi" w:hAnsiTheme="minorHAnsi"/>
        </w:rPr>
        <w:t>c</w:t>
      </w:r>
      <w:r w:rsidR="00FF607D" w:rsidRPr="00C36F8B">
        <w:rPr>
          <w:rFonts w:asciiTheme="minorHAnsi" w:hAnsiTheme="minorHAnsi"/>
        </w:rPr>
        <w:t>,</w:t>
      </w:r>
      <w:r w:rsidR="00376D87" w:rsidRPr="00C36F8B">
        <w:rPr>
          <w:rFonts w:asciiTheme="minorHAnsi" w:hAnsiTheme="minorHAnsi"/>
        </w:rPr>
        <w:t xml:space="preserve"> cała Jednostkowa Pożyczka nie może być uznana za spełniającą Zasady Kwalifikowalności</w:t>
      </w:r>
      <w:r w:rsidR="00FF607D" w:rsidRPr="00C36F8B">
        <w:rPr>
          <w:rFonts w:asciiTheme="minorHAnsi" w:hAnsiTheme="minorHAnsi"/>
        </w:rPr>
        <w:t>, co skutkuje brakiem możliwości dokonania umorzenia.</w:t>
      </w:r>
    </w:p>
    <w:p w14:paraId="051BF6BC" w14:textId="77777777" w:rsidR="006D6A81" w:rsidRDefault="007720DA" w:rsidP="00D968C9">
      <w:pPr>
        <w:numPr>
          <w:ilvl w:val="0"/>
          <w:numId w:val="12"/>
        </w:numPr>
        <w:spacing w:before="40" w:after="120"/>
        <w:jc w:val="both"/>
        <w:rPr>
          <w:rFonts w:asciiTheme="minorHAnsi" w:hAnsiTheme="minorHAnsi"/>
        </w:rPr>
      </w:pPr>
      <w:r w:rsidRPr="006D6A81">
        <w:rPr>
          <w:rFonts w:asciiTheme="minorHAnsi" w:hAnsiTheme="minorHAnsi"/>
        </w:rPr>
        <w:t>Obniżenie kwoty umorzenia, o którym mowa w pk</w:t>
      </w:r>
      <w:r w:rsidR="003E0713" w:rsidRPr="006D6A81">
        <w:rPr>
          <w:rFonts w:asciiTheme="minorHAnsi" w:hAnsiTheme="minorHAnsi"/>
        </w:rPr>
        <w:t>t. 6</w:t>
      </w:r>
      <w:r w:rsidR="00D208A8" w:rsidRPr="006D6A81">
        <w:rPr>
          <w:rFonts w:asciiTheme="minorHAnsi" w:hAnsiTheme="minorHAnsi"/>
        </w:rPr>
        <w:t xml:space="preserve"> </w:t>
      </w:r>
      <w:r w:rsidRPr="006D6A81">
        <w:rPr>
          <w:rFonts w:asciiTheme="minorHAnsi" w:hAnsiTheme="minorHAnsi"/>
        </w:rPr>
        <w:t>skutkuje również obowiązkiem dokonania</w:t>
      </w:r>
      <w:r w:rsidR="00EF1039" w:rsidRPr="006D6A81">
        <w:rPr>
          <w:rFonts w:asciiTheme="minorHAnsi" w:hAnsiTheme="minorHAnsi"/>
        </w:rPr>
        <w:t xml:space="preserve"> odpowiedniej</w:t>
      </w:r>
      <w:r w:rsidRPr="006D6A81">
        <w:rPr>
          <w:rFonts w:asciiTheme="minorHAnsi" w:hAnsiTheme="minorHAnsi"/>
        </w:rPr>
        <w:t xml:space="preserve"> korekty udzielonej pomocy de minimis albo pomocy publicznej.</w:t>
      </w:r>
    </w:p>
    <w:p w14:paraId="4B9DDB4E" w14:textId="2E36ED0E" w:rsidR="006D6A81" w:rsidRDefault="003E0713" w:rsidP="00D968C9">
      <w:pPr>
        <w:numPr>
          <w:ilvl w:val="0"/>
          <w:numId w:val="12"/>
        </w:numPr>
        <w:spacing w:before="40" w:after="120"/>
        <w:jc w:val="both"/>
        <w:rPr>
          <w:rFonts w:asciiTheme="minorHAnsi" w:hAnsiTheme="minorHAnsi"/>
        </w:rPr>
      </w:pPr>
      <w:r w:rsidRPr="006D6A81">
        <w:rPr>
          <w:rFonts w:asciiTheme="minorHAnsi" w:hAnsiTheme="minorHAnsi"/>
        </w:rPr>
        <w:t xml:space="preserve">W przypadkach określonych </w:t>
      </w:r>
      <w:r w:rsidR="00A632E7" w:rsidRPr="006D6A81">
        <w:rPr>
          <w:rFonts w:asciiTheme="minorHAnsi" w:hAnsiTheme="minorHAnsi"/>
        </w:rPr>
        <w:t xml:space="preserve">w pkt. 6 lit. b-c umorzenie </w:t>
      </w:r>
      <w:r w:rsidR="00B61546" w:rsidRPr="006D6A81">
        <w:rPr>
          <w:rFonts w:asciiTheme="minorHAnsi" w:hAnsiTheme="minorHAnsi"/>
        </w:rPr>
        <w:t xml:space="preserve">może </w:t>
      </w:r>
      <w:r w:rsidR="00A632E7" w:rsidRPr="006D6A81">
        <w:rPr>
          <w:rFonts w:asciiTheme="minorHAnsi" w:hAnsiTheme="minorHAnsi"/>
        </w:rPr>
        <w:t>nastąpi</w:t>
      </w:r>
      <w:r w:rsidR="00B61546" w:rsidRPr="006D6A81">
        <w:rPr>
          <w:rFonts w:asciiTheme="minorHAnsi" w:hAnsiTheme="minorHAnsi"/>
        </w:rPr>
        <w:t>ć</w:t>
      </w:r>
      <w:r w:rsidR="00A632E7" w:rsidRPr="006D6A81">
        <w:rPr>
          <w:rFonts w:asciiTheme="minorHAnsi" w:hAnsiTheme="minorHAnsi"/>
        </w:rPr>
        <w:t xml:space="preserve"> po dokonaniu zwrotu przez </w:t>
      </w:r>
      <w:r w:rsidR="00A6023C">
        <w:rPr>
          <w:rFonts w:asciiTheme="minorHAnsi" w:hAnsiTheme="minorHAnsi"/>
        </w:rPr>
        <w:t>Pożyczkobiorcę</w:t>
      </w:r>
      <w:r w:rsidR="00E557E9" w:rsidRPr="006D6A81">
        <w:rPr>
          <w:rFonts w:asciiTheme="minorHAnsi" w:hAnsiTheme="minorHAnsi"/>
        </w:rPr>
        <w:t xml:space="preserve"> niewykorzystanej oraz </w:t>
      </w:r>
      <w:r w:rsidR="00291940" w:rsidRPr="006D6A81">
        <w:rPr>
          <w:rFonts w:asciiTheme="minorHAnsi" w:hAnsiTheme="minorHAnsi"/>
        </w:rPr>
        <w:t>niespełniającej</w:t>
      </w:r>
      <w:r w:rsidR="00E557E9" w:rsidRPr="006D6A81">
        <w:rPr>
          <w:rFonts w:asciiTheme="minorHAnsi" w:hAnsiTheme="minorHAnsi"/>
        </w:rPr>
        <w:t xml:space="preserve"> </w:t>
      </w:r>
      <w:r w:rsidR="00291940" w:rsidRPr="006D6A81">
        <w:rPr>
          <w:rFonts w:asciiTheme="minorHAnsi" w:hAnsiTheme="minorHAnsi"/>
        </w:rPr>
        <w:t>Zasad Kwalifikowalności</w:t>
      </w:r>
      <w:r w:rsidR="00E557E9" w:rsidRPr="006D6A81">
        <w:rPr>
          <w:rFonts w:asciiTheme="minorHAnsi" w:hAnsiTheme="minorHAnsi"/>
        </w:rPr>
        <w:t xml:space="preserve"> części Jednostkowej Pożyczki</w:t>
      </w:r>
      <w:r w:rsidR="00291940" w:rsidRPr="006D6A81">
        <w:rPr>
          <w:rFonts w:asciiTheme="minorHAnsi" w:hAnsiTheme="minorHAnsi"/>
        </w:rPr>
        <w:t>.</w:t>
      </w:r>
    </w:p>
    <w:p w14:paraId="02512337" w14:textId="77777777" w:rsidR="006D6A81" w:rsidRDefault="00676346" w:rsidP="00D968C9">
      <w:pPr>
        <w:numPr>
          <w:ilvl w:val="0"/>
          <w:numId w:val="12"/>
        </w:numPr>
        <w:spacing w:before="40" w:after="120"/>
        <w:jc w:val="both"/>
        <w:rPr>
          <w:rFonts w:asciiTheme="minorHAnsi" w:hAnsiTheme="minorHAnsi"/>
        </w:rPr>
      </w:pPr>
      <w:r w:rsidRPr="006D6A81">
        <w:rPr>
          <w:rFonts w:asciiTheme="minorHAnsi" w:hAnsiTheme="minorHAnsi"/>
        </w:rPr>
        <w:t xml:space="preserve">Umorzenie dokonywane jest wyłącznie na kapitale </w:t>
      </w:r>
      <w:r w:rsidR="005E4678" w:rsidRPr="006D6A81">
        <w:rPr>
          <w:rFonts w:asciiTheme="minorHAnsi" w:hAnsiTheme="minorHAnsi"/>
        </w:rPr>
        <w:t>Jednostkowej Pożyczki w części W</w:t>
      </w:r>
      <w:r w:rsidRPr="006D6A81">
        <w:rPr>
          <w:rFonts w:asciiTheme="minorHAnsi" w:hAnsiTheme="minorHAnsi"/>
        </w:rPr>
        <w:t>kładu</w:t>
      </w:r>
      <w:r w:rsidR="005E4678" w:rsidRPr="006D6A81">
        <w:rPr>
          <w:rFonts w:asciiTheme="minorHAnsi" w:hAnsiTheme="minorHAnsi"/>
        </w:rPr>
        <w:t xml:space="preserve"> Funduszu Powierniczego pochodzącej</w:t>
      </w:r>
      <w:r w:rsidRPr="006D6A81">
        <w:rPr>
          <w:rFonts w:asciiTheme="minorHAnsi" w:hAnsiTheme="minorHAnsi"/>
        </w:rPr>
        <w:t xml:space="preserve"> z Europejskiego Funduszu Rozwoju Regionalnego</w:t>
      </w:r>
      <w:r w:rsidR="00513AAD" w:rsidRPr="006D6A81">
        <w:rPr>
          <w:rFonts w:asciiTheme="minorHAnsi" w:hAnsiTheme="minorHAnsi"/>
        </w:rPr>
        <w:t xml:space="preserve"> i nie może przekroczyć kwoty kapitału pozostałe</w:t>
      </w:r>
      <w:r w:rsidR="002832F5" w:rsidRPr="006D6A81">
        <w:rPr>
          <w:rFonts w:asciiTheme="minorHAnsi" w:hAnsiTheme="minorHAnsi"/>
        </w:rPr>
        <w:t>go</w:t>
      </w:r>
      <w:r w:rsidR="00513AAD" w:rsidRPr="006D6A81">
        <w:rPr>
          <w:rFonts w:asciiTheme="minorHAnsi" w:hAnsiTheme="minorHAnsi"/>
        </w:rPr>
        <w:t xml:space="preserve"> do spłaty</w:t>
      </w:r>
      <w:r w:rsidR="00B47FDF" w:rsidRPr="006D6A81">
        <w:rPr>
          <w:rFonts w:asciiTheme="minorHAnsi" w:hAnsiTheme="minorHAnsi"/>
        </w:rPr>
        <w:t xml:space="preserve"> przypisane</w:t>
      </w:r>
      <w:r w:rsidR="002832F5" w:rsidRPr="006D6A81">
        <w:rPr>
          <w:rFonts w:asciiTheme="minorHAnsi" w:hAnsiTheme="minorHAnsi"/>
        </w:rPr>
        <w:t>go</w:t>
      </w:r>
      <w:r w:rsidR="00B47FDF" w:rsidRPr="006D6A81">
        <w:rPr>
          <w:rFonts w:asciiTheme="minorHAnsi" w:hAnsiTheme="minorHAnsi"/>
        </w:rPr>
        <w:t xml:space="preserve"> do tego źródła finansowania</w:t>
      </w:r>
      <w:r w:rsidR="00EF1039" w:rsidRPr="006D6A81">
        <w:rPr>
          <w:rFonts w:asciiTheme="minorHAnsi" w:hAnsiTheme="minorHAnsi"/>
        </w:rPr>
        <w:t xml:space="preserve"> na dzień dokonania umorzenia</w:t>
      </w:r>
      <w:r w:rsidRPr="006D6A81">
        <w:rPr>
          <w:rFonts w:asciiTheme="minorHAnsi" w:hAnsiTheme="minorHAnsi"/>
        </w:rPr>
        <w:t>.</w:t>
      </w:r>
    </w:p>
    <w:p w14:paraId="01B857E5" w14:textId="479AB49E" w:rsidR="00F936F2" w:rsidRPr="006D6A81" w:rsidRDefault="00DB0DAC" w:rsidP="00D968C9">
      <w:pPr>
        <w:numPr>
          <w:ilvl w:val="0"/>
          <w:numId w:val="12"/>
        </w:numPr>
        <w:spacing w:before="40" w:after="120"/>
        <w:jc w:val="both"/>
        <w:rPr>
          <w:rFonts w:asciiTheme="minorHAnsi" w:hAnsiTheme="minorHAnsi"/>
        </w:rPr>
      </w:pPr>
      <w:r w:rsidRPr="006D6A81">
        <w:rPr>
          <w:rFonts w:asciiTheme="minorHAnsi" w:hAnsiTheme="minorHAnsi"/>
        </w:rPr>
        <w:t>Wraz z umorzeniem</w:t>
      </w:r>
      <w:r w:rsidR="00124555" w:rsidRPr="006D6A81">
        <w:rPr>
          <w:rFonts w:asciiTheme="minorHAnsi" w:hAnsiTheme="minorHAnsi"/>
        </w:rPr>
        <w:t xml:space="preserve"> kapitału Jednostkowej Pożyczki P</w:t>
      </w:r>
      <w:r w:rsidR="00A6023C">
        <w:rPr>
          <w:rFonts w:asciiTheme="minorHAnsi" w:hAnsiTheme="minorHAnsi"/>
        </w:rPr>
        <w:t xml:space="preserve">ożyczkodawca </w:t>
      </w:r>
      <w:r w:rsidRPr="006D6A81">
        <w:rPr>
          <w:rFonts w:asciiTheme="minorHAnsi" w:hAnsiTheme="minorHAnsi"/>
        </w:rPr>
        <w:t>przygotowuje i</w:t>
      </w:r>
      <w:r w:rsidR="00124555" w:rsidRPr="006D6A81">
        <w:rPr>
          <w:rFonts w:asciiTheme="minorHAnsi" w:hAnsiTheme="minorHAnsi"/>
        </w:rPr>
        <w:t xml:space="preserve"> przekazuje </w:t>
      </w:r>
      <w:r w:rsidR="00A6023C">
        <w:rPr>
          <w:rFonts w:asciiTheme="minorHAnsi" w:hAnsiTheme="minorHAnsi"/>
        </w:rPr>
        <w:t xml:space="preserve">Pożyczkobiorcy </w:t>
      </w:r>
      <w:r w:rsidR="00124555" w:rsidRPr="006D6A81">
        <w:rPr>
          <w:rFonts w:asciiTheme="minorHAnsi" w:hAnsiTheme="minorHAnsi"/>
        </w:rPr>
        <w:t xml:space="preserve">nowy harmonogram spłat, który </w:t>
      </w:r>
      <w:r w:rsidR="002832F5" w:rsidRPr="006D6A81">
        <w:rPr>
          <w:rFonts w:asciiTheme="minorHAnsi" w:hAnsiTheme="minorHAnsi"/>
        </w:rPr>
        <w:t xml:space="preserve">z tego powodu </w:t>
      </w:r>
      <w:r w:rsidR="00124555" w:rsidRPr="006D6A81">
        <w:rPr>
          <w:rFonts w:asciiTheme="minorHAnsi" w:hAnsiTheme="minorHAnsi"/>
        </w:rPr>
        <w:t>nie modyfikuje pierwotnie udzielonego okresu spłaty Pożyczki.</w:t>
      </w:r>
    </w:p>
    <w:p w14:paraId="37911E9E" w14:textId="555059C1" w:rsidR="00774594" w:rsidRDefault="00774594">
      <w:pPr>
        <w:spacing w:after="0" w:line="240" w:lineRule="auto"/>
        <w:rPr>
          <w:rFonts w:asciiTheme="minorHAnsi" w:hAnsiTheme="minorHAnsi"/>
          <w:highlight w:val="yellow"/>
        </w:rPr>
      </w:pPr>
      <w:r>
        <w:rPr>
          <w:rFonts w:asciiTheme="minorHAnsi" w:hAnsiTheme="minorHAnsi"/>
          <w:highlight w:val="yellow"/>
        </w:rPr>
        <w:br w:type="page"/>
      </w:r>
    </w:p>
    <w:p w14:paraId="1DA3EECE" w14:textId="5559A357" w:rsidR="00774594" w:rsidRDefault="00774594" w:rsidP="00C877D6">
      <w:pPr>
        <w:pStyle w:val="Akapitzlist"/>
        <w:spacing w:after="120" w:line="23" w:lineRule="atLeast"/>
        <w:ind w:left="5676" w:firstLine="696"/>
        <w:jc w:val="center"/>
        <w:rPr>
          <w:rFonts w:asciiTheme="minorHAnsi" w:hAnsiTheme="minorHAnsi" w:cstheme="minorHAnsi"/>
          <w:iCs/>
        </w:rPr>
      </w:pPr>
      <w:r w:rsidRPr="00CC6776">
        <w:rPr>
          <w:rFonts w:asciiTheme="minorHAnsi" w:hAnsiTheme="minorHAnsi" w:cstheme="minorHAnsi"/>
          <w:iCs/>
        </w:rPr>
        <w:lastRenderedPageBreak/>
        <w:t>Załącznik nr 1</w:t>
      </w:r>
      <w:r w:rsidR="00C877D6">
        <w:rPr>
          <w:rFonts w:asciiTheme="minorHAnsi" w:hAnsiTheme="minorHAnsi" w:cstheme="minorHAnsi"/>
          <w:iCs/>
        </w:rPr>
        <w:t xml:space="preserve"> </w:t>
      </w:r>
      <w:r w:rsidRPr="00CC6776">
        <w:rPr>
          <w:rFonts w:asciiTheme="minorHAnsi" w:hAnsiTheme="minorHAnsi" w:cstheme="minorHAnsi"/>
          <w:iCs/>
        </w:rPr>
        <w:t xml:space="preserve">do </w:t>
      </w:r>
      <w:r w:rsidR="00DE42A0">
        <w:rPr>
          <w:rFonts w:asciiTheme="minorHAnsi" w:hAnsiTheme="minorHAnsi" w:cstheme="minorHAnsi"/>
          <w:iCs/>
        </w:rPr>
        <w:t>Karty Produktu</w:t>
      </w:r>
      <w:r w:rsidRPr="00CC6776">
        <w:rPr>
          <w:rFonts w:asciiTheme="minorHAnsi" w:hAnsiTheme="minorHAnsi" w:cstheme="minorHAnsi"/>
          <w:iCs/>
        </w:rPr>
        <w:t xml:space="preserve"> </w:t>
      </w:r>
    </w:p>
    <w:p w14:paraId="350D1B0B" w14:textId="77777777" w:rsidR="00774594" w:rsidRPr="00CC6776" w:rsidRDefault="00774594" w:rsidP="00774594">
      <w:pPr>
        <w:pStyle w:val="Akapitzlist"/>
        <w:spacing w:after="120" w:line="23" w:lineRule="atLeast"/>
        <w:jc w:val="right"/>
        <w:rPr>
          <w:rFonts w:asciiTheme="minorHAnsi" w:hAnsiTheme="minorHAnsi" w:cstheme="minorHAnsi"/>
          <w:iCs/>
        </w:rPr>
      </w:pPr>
      <w:r w:rsidRPr="00CC6776">
        <w:rPr>
          <w:rFonts w:asciiTheme="minorHAnsi" w:hAnsiTheme="minorHAnsi" w:cstheme="minorHAnsi"/>
          <w:iCs/>
        </w:rPr>
        <w:t>– Pożyczka na cyfryzację przedsiębiorstw</w:t>
      </w:r>
    </w:p>
    <w:p w14:paraId="10A68C5B" w14:textId="77777777" w:rsidR="00774594" w:rsidRPr="00CC6776" w:rsidRDefault="00774594" w:rsidP="00774594">
      <w:pPr>
        <w:pStyle w:val="Akapitzlist"/>
        <w:spacing w:after="120" w:line="23" w:lineRule="atLeast"/>
        <w:jc w:val="right"/>
        <w:rPr>
          <w:rFonts w:asciiTheme="minorHAnsi" w:hAnsiTheme="minorHAnsi" w:cstheme="minorHAnsi"/>
          <w:b/>
          <w:iCs/>
        </w:rPr>
      </w:pPr>
    </w:p>
    <w:p w14:paraId="2E7E48B6" w14:textId="77777777" w:rsidR="00480D18" w:rsidRPr="00CC6776" w:rsidRDefault="00480D18" w:rsidP="00480D18">
      <w:pPr>
        <w:pStyle w:val="Akapitzlist"/>
        <w:numPr>
          <w:ilvl w:val="0"/>
          <w:numId w:val="13"/>
        </w:numPr>
        <w:rPr>
          <w:rFonts w:cstheme="minorHAnsi"/>
          <w:b/>
          <w:bCs/>
          <w:iCs/>
        </w:rPr>
      </w:pPr>
      <w:r w:rsidRPr="00CC6776">
        <w:rPr>
          <w:rFonts w:cstheme="minorHAnsi"/>
          <w:b/>
          <w:bCs/>
          <w:iCs/>
        </w:rPr>
        <w:t xml:space="preserve">Warunek nr </w:t>
      </w:r>
      <w:r>
        <w:rPr>
          <w:rFonts w:cstheme="minorHAnsi"/>
          <w:b/>
          <w:bCs/>
          <w:iCs/>
        </w:rPr>
        <w:t>1 a</w:t>
      </w:r>
    </w:p>
    <w:p w14:paraId="3DB841AA" w14:textId="77777777" w:rsidR="00480D18" w:rsidRPr="00A4445D" w:rsidRDefault="00480D18" w:rsidP="00480D18">
      <w:pPr>
        <w:rPr>
          <w:rFonts w:cstheme="minorHAnsi"/>
          <w:b/>
          <w:iCs/>
        </w:rPr>
      </w:pPr>
      <w:r w:rsidRPr="00CC6776">
        <w:rPr>
          <w:rFonts w:cstheme="minorHAnsi"/>
          <w:b/>
          <w:iCs/>
        </w:rPr>
        <w:t>Wdrożenie innowacyjnych procesów (wdrożenie nowego rozwiązania cyfrowego, obejmującego trzy procesy spośród następujących: zarządzanie produkcją, zarządzanie usługami, sprzedaż, magazynowanie/zarządzanie łańcuchem dostaw, zarządzanie relacjami z klientami.</w:t>
      </w:r>
    </w:p>
    <w:p w14:paraId="60BBDE8A" w14:textId="77777777" w:rsidR="00480D18" w:rsidRPr="00CC6776" w:rsidRDefault="00480D18" w:rsidP="00480D18">
      <w:pPr>
        <w:jc w:val="both"/>
        <w:rPr>
          <w:iCs/>
        </w:rPr>
      </w:pPr>
      <w:r w:rsidRPr="00CC6776">
        <w:rPr>
          <w:iCs/>
        </w:rPr>
        <w:t>W ramach realizacji procesów zostaną wprowadzone usprawnienia poprzez: wykorzystanie stosownego oprogramowania (pozwalające na planowanie przebiegu procesów i ich realizację), instalację stosownych urządzeń (np. czujniki IoT, drony, roboty lub automatyzacja), które przyczynią się do wyższej efektywności produkcji lub realizacji usług (mniejsze zużycie surowców czy energii, a także wytworzenie pojedynczego produktu czy realizacja usługi w krótszym czasie). Zastosowane technologie mogą dotyczyć istniejących procesów oraz nowych, których celem jest dywersyfikacja dochodów przedsiębiorstwa, a przez to zwiększenie jego konkurencyjności i odporności. Zastosowane rozwiązania powinny być wykorzystywane w jak największej liczbie procesów min. 3 zidentyfikowanych</w:t>
      </w:r>
    </w:p>
    <w:p w14:paraId="22552E6C" w14:textId="77777777" w:rsidR="00480D18" w:rsidRDefault="00480D18" w:rsidP="00480D18">
      <w:pPr>
        <w:jc w:val="both"/>
        <w:rPr>
          <w:iCs/>
        </w:rPr>
      </w:pPr>
      <w:r w:rsidRPr="00CC6776">
        <w:rPr>
          <w:iCs/>
        </w:rPr>
        <w:t xml:space="preserve">Spełnienie warunku następuje w oparciu o dokumentację pożyczkową. Ostateczny odbiorca może dodatkowo przedstawić dokumenty na podstawie których  wdrożone zostaną  nowe rozwiązania  cyfrowych np.  strategia transformacji cyfrowej. </w:t>
      </w:r>
    </w:p>
    <w:p w14:paraId="38E2BA5B" w14:textId="77777777" w:rsidR="00480D18" w:rsidRPr="00CC6776" w:rsidRDefault="00480D18" w:rsidP="00480D18">
      <w:pPr>
        <w:pStyle w:val="Akapitzlist"/>
        <w:numPr>
          <w:ilvl w:val="0"/>
          <w:numId w:val="13"/>
        </w:numPr>
        <w:rPr>
          <w:rFonts w:cstheme="minorHAnsi"/>
          <w:b/>
          <w:bCs/>
          <w:iCs/>
        </w:rPr>
      </w:pPr>
      <w:r w:rsidRPr="00CC6776">
        <w:rPr>
          <w:rFonts w:cstheme="minorHAnsi"/>
          <w:b/>
          <w:bCs/>
          <w:iCs/>
        </w:rPr>
        <w:t xml:space="preserve">Warunek nr </w:t>
      </w:r>
      <w:r>
        <w:rPr>
          <w:rFonts w:cstheme="minorHAnsi"/>
          <w:b/>
          <w:bCs/>
          <w:iCs/>
        </w:rPr>
        <w:t>1 b</w:t>
      </w:r>
    </w:p>
    <w:p w14:paraId="6D13F5B8" w14:textId="77777777" w:rsidR="00480D18" w:rsidRPr="00CC6776" w:rsidRDefault="00480D18" w:rsidP="00480D18">
      <w:pPr>
        <w:rPr>
          <w:rFonts w:cstheme="minorHAnsi"/>
          <w:b/>
          <w:iCs/>
        </w:rPr>
      </w:pPr>
      <w:r w:rsidRPr="00CC6776">
        <w:rPr>
          <w:rFonts w:cstheme="minorHAnsi"/>
          <w:b/>
          <w:iCs/>
        </w:rPr>
        <w:t>Stworzenie i utrzymanie (min. przez 1 rok) miejsca pracy, związanego z obsługą procesów cyfrowych w przedsiębiorstwie.</w:t>
      </w:r>
    </w:p>
    <w:p w14:paraId="31C68AAE" w14:textId="77777777" w:rsidR="00480D18" w:rsidRPr="00CC6776" w:rsidRDefault="00480D18" w:rsidP="00480D18">
      <w:pPr>
        <w:jc w:val="both"/>
        <w:rPr>
          <w:iCs/>
        </w:rPr>
      </w:pPr>
      <w:r w:rsidRPr="00CC6776">
        <w:rPr>
          <w:iCs/>
        </w:rPr>
        <w:t>Warunek może być zrealizowany na dwa sposoby:</w:t>
      </w:r>
    </w:p>
    <w:p w14:paraId="28C31259" w14:textId="77777777" w:rsidR="00480D18" w:rsidRPr="00CC6776" w:rsidRDefault="00480D18" w:rsidP="00480D18">
      <w:pPr>
        <w:pStyle w:val="Akapitzlist"/>
        <w:numPr>
          <w:ilvl w:val="0"/>
          <w:numId w:val="14"/>
        </w:numPr>
        <w:spacing w:after="0" w:line="240" w:lineRule="auto"/>
        <w:jc w:val="both"/>
        <w:rPr>
          <w:iCs/>
        </w:rPr>
      </w:pPr>
      <w:r w:rsidRPr="00CC6776">
        <w:rPr>
          <w:iCs/>
        </w:rPr>
        <w:t xml:space="preserve">Sposób 1: zostanie utworzone nowe stanowisko bez wzrostu zatrudnienia w przedsiębiorstwie – w ramach zespołu zatrudnionego już u pracodawcy zostanie wskazana osoba, która podniesie swoje kompetencje (zostanie przeszkolona i wdrożona do pełnienia roli) w celu realizacji nowych zadań związanych z wprowadzeniem procesów cyfrowych w przedsiębiorstwie – otrzyma nowy zakres obowiązków. Aby spełnić warunek w ramach sposobu pierwszego należy będzie wskazać zakresy obowiązku przed zmianą stanowiska i po zamianie z wykazem obowiązków oraz dokumenty potwierdzające przekwalifikowanie – szkolenia, instruktaż stanowiskowy, itp. lub </w:t>
      </w:r>
    </w:p>
    <w:p w14:paraId="5EA3B1B4" w14:textId="77777777" w:rsidR="00480D18" w:rsidRPr="00CC6776" w:rsidRDefault="00480D18" w:rsidP="00480D18">
      <w:pPr>
        <w:pStyle w:val="Akapitzlist"/>
        <w:numPr>
          <w:ilvl w:val="0"/>
          <w:numId w:val="14"/>
        </w:numPr>
        <w:spacing w:after="0" w:line="240" w:lineRule="auto"/>
        <w:jc w:val="both"/>
        <w:rPr>
          <w:iCs/>
        </w:rPr>
      </w:pPr>
      <w:r w:rsidRPr="00CC6776">
        <w:rPr>
          <w:iCs/>
        </w:rPr>
        <w:t xml:space="preserve">Sposób 2: zostanie utworzone nowe stanowisko wynikające ze wzrostu zatrudnienia w przedsiębiorstwie. W tym przypadku zostanie zatrudniony nowy pracownik, z nowym zakresem zadań. Aby spełnić warunek w ramach sposobu drugiego, przedsiębiorstwo będzie musiało wskazać stan zatrudnienia przed otrzymaniem wsparcia (średnia z roku poprzedzającego otrzymanie wsparcie) i po otrzymaniu wsparcia (średnia z roku po otrzymaniu wsparcia) – różnica powinna odpowiadać ilości miejsc utworzonych w przedsiębiorstwie w ramach wsparcia. Dodatkowo, należy dostarczyć zakres obowiązków. Przy czym, należy wskazać, iż ewentualna zmiana stanu zatrudnienia (pracownik zwolnił się na własną prośbę, a do momentu konieczności rozliczenia się z pożyczki, przedsiębiorstwo nie zatrudni nowego pracownika) może wpłynąć na brak spełnienia warunku. </w:t>
      </w:r>
    </w:p>
    <w:p w14:paraId="1A9377C7" w14:textId="77777777" w:rsidR="00480D18" w:rsidRPr="00CC6776" w:rsidRDefault="00480D18" w:rsidP="00480D18">
      <w:pPr>
        <w:jc w:val="both"/>
        <w:rPr>
          <w:iCs/>
        </w:rPr>
      </w:pPr>
      <w:r w:rsidRPr="00CC6776">
        <w:rPr>
          <w:iCs/>
        </w:rPr>
        <w:t>Aby spełnić warunek stanowisko musi zostać utrzymane przez 1 rok od zakończenia inwestycji .</w:t>
      </w:r>
    </w:p>
    <w:p w14:paraId="2666D78C" w14:textId="77777777" w:rsidR="00480D18" w:rsidRPr="00CC6776" w:rsidRDefault="00480D18" w:rsidP="00480D18">
      <w:pPr>
        <w:jc w:val="both"/>
        <w:rPr>
          <w:iCs/>
        </w:rPr>
      </w:pPr>
      <w:r w:rsidRPr="00CC6776">
        <w:rPr>
          <w:iCs/>
        </w:rPr>
        <w:t xml:space="preserve">Nie jest wymagane, by przedsiębiorstwo wdrożyło w ramach wsparcia dwa sposoby realizacji łącznie. Natomiast w obu przypadkach, zakres zadań dla nowego stanowiska musi uwzględniać kompetencje cyfrowe, które mogą wynikać np. ze  strategii transformacji cyfrowej lub dokumentacji pożyczkowej. </w:t>
      </w:r>
    </w:p>
    <w:p w14:paraId="5267EFEC" w14:textId="77777777" w:rsidR="00480D18" w:rsidRPr="00050289" w:rsidRDefault="00480D18" w:rsidP="00480D18">
      <w:pPr>
        <w:jc w:val="both"/>
        <w:rPr>
          <w:i/>
        </w:rPr>
      </w:pPr>
      <w:r w:rsidRPr="00325FC9">
        <w:rPr>
          <w:i/>
        </w:rPr>
        <w:t>Spełnienie warunku następuje w oparciu o dokumentację pożyczkową.</w:t>
      </w:r>
    </w:p>
    <w:p w14:paraId="786C174F" w14:textId="77777777" w:rsidR="00480D18" w:rsidRPr="00CC6776" w:rsidRDefault="00480D18" w:rsidP="00480D18">
      <w:pPr>
        <w:pStyle w:val="Akapitzlist"/>
        <w:numPr>
          <w:ilvl w:val="0"/>
          <w:numId w:val="13"/>
        </w:numPr>
        <w:rPr>
          <w:rFonts w:cstheme="minorHAnsi"/>
          <w:b/>
          <w:bCs/>
          <w:iCs/>
        </w:rPr>
      </w:pPr>
      <w:r w:rsidRPr="00CC6776">
        <w:rPr>
          <w:rFonts w:cstheme="minorHAnsi"/>
          <w:b/>
          <w:bCs/>
          <w:iCs/>
        </w:rPr>
        <w:lastRenderedPageBreak/>
        <w:t xml:space="preserve">Warunek nr </w:t>
      </w:r>
      <w:r>
        <w:rPr>
          <w:rFonts w:cstheme="minorHAnsi"/>
          <w:b/>
          <w:bCs/>
          <w:iCs/>
        </w:rPr>
        <w:t>1 c</w:t>
      </w:r>
    </w:p>
    <w:p w14:paraId="65C72516" w14:textId="77777777" w:rsidR="00480D18" w:rsidRPr="00CC6776" w:rsidRDefault="00480D18" w:rsidP="00480D18">
      <w:pPr>
        <w:rPr>
          <w:b/>
          <w:iCs/>
        </w:rPr>
      </w:pPr>
      <w:r w:rsidRPr="00CC6776">
        <w:rPr>
          <w:b/>
          <w:iCs/>
        </w:rPr>
        <w:t>Rozwiązania cyfrowe przyczyniły się do ochrony środowiska (ograniczenie zużycia surowców lub energii lub redukcji emisji gazów cieplarnianych – konieczność wykazania jasnej mierzalności efektu z uwzględnieniem kryteriów redukcji emisji gazów cieplarnianych lub kryteriów efektywności energetycznej).</w:t>
      </w:r>
    </w:p>
    <w:p w14:paraId="23E6B2B5" w14:textId="77777777" w:rsidR="00480D18" w:rsidRPr="00CC6776" w:rsidRDefault="00480D18" w:rsidP="00480D18">
      <w:pPr>
        <w:jc w:val="both"/>
        <w:rPr>
          <w:iCs/>
        </w:rPr>
      </w:pPr>
      <w:r w:rsidRPr="00CC6776">
        <w:rPr>
          <w:iCs/>
        </w:rPr>
        <w:t>Warunek odnosi się wyłącznie do procesu, który podlega usprawnieniu w przeliczeniu na pojedynczy produkt/ pojedynczą usługę w cyklu ich życia (od etapu projektowania produktu/usługi do obsługi w okresie gwarancyjnym/rękojmi):</w:t>
      </w:r>
    </w:p>
    <w:p w14:paraId="64628AF1" w14:textId="77777777" w:rsidR="00480D18" w:rsidRPr="00CC6776" w:rsidRDefault="00480D18" w:rsidP="00480D18">
      <w:pPr>
        <w:pStyle w:val="Akapitzlist"/>
        <w:numPr>
          <w:ilvl w:val="0"/>
          <w:numId w:val="15"/>
        </w:numPr>
        <w:spacing w:after="0" w:line="240" w:lineRule="auto"/>
        <w:jc w:val="both"/>
        <w:rPr>
          <w:iCs/>
        </w:rPr>
      </w:pPr>
      <w:r w:rsidRPr="00CC6776">
        <w:rPr>
          <w:iCs/>
        </w:rPr>
        <w:t xml:space="preserve">W przypadku surowców – należy wskazać ilość (masa lub objętość) wykorzystanych surowców w ciągu roku w podziale na ich rodzaje w przeliczeniu na ilość wytworzonych produktów/ zrealizowanych usług dla stanu bazowego* i stanu docelowego (wynikającego z realizacji wsparcia)*. Następnie obie wartości należy porównać i wskazać spadek w % w odniesieniu do stanu bazowego. </w:t>
      </w:r>
    </w:p>
    <w:p w14:paraId="33791A71" w14:textId="77777777" w:rsidR="00480D18" w:rsidRPr="00CC6776" w:rsidRDefault="00480D18" w:rsidP="00480D18">
      <w:pPr>
        <w:pStyle w:val="Akapitzlist"/>
        <w:numPr>
          <w:ilvl w:val="0"/>
          <w:numId w:val="15"/>
        </w:numPr>
        <w:spacing w:after="0" w:line="240" w:lineRule="auto"/>
        <w:jc w:val="both"/>
        <w:rPr>
          <w:iCs/>
        </w:rPr>
      </w:pPr>
      <w:r w:rsidRPr="00CC6776">
        <w:rPr>
          <w:iCs/>
        </w:rPr>
        <w:t>W przypadku odpadów – należy wskazać ilość (masa lub objętość) wytworzonych odpadów w ciągu roku w podziale na ich rodzaje w przeliczeniu na ilość wytworzonych produktów/ zrealizowanych usług dla stanu bazowego* i stanu docelowego(wynikającego z realizacji wsparcia)*. Następnie obie wartości należy porównać i wskazać spadek w %.</w:t>
      </w:r>
    </w:p>
    <w:p w14:paraId="47F82130" w14:textId="77777777" w:rsidR="00480D18" w:rsidRPr="00CC6776" w:rsidRDefault="00480D18" w:rsidP="00480D18">
      <w:pPr>
        <w:pStyle w:val="Akapitzlist"/>
        <w:numPr>
          <w:ilvl w:val="0"/>
          <w:numId w:val="15"/>
        </w:numPr>
        <w:spacing w:after="0" w:line="240" w:lineRule="auto"/>
        <w:jc w:val="both"/>
        <w:rPr>
          <w:iCs/>
        </w:rPr>
      </w:pPr>
      <w:r w:rsidRPr="00CC6776">
        <w:rPr>
          <w:iCs/>
        </w:rPr>
        <w:t>W przypadku energii – należy wskazać ilość wykorzystanej energii w ciągu roku w podziale na ilość wytworzonych produktów/ zrealizowanych usług dla stanu bazowego* i stanu docelowego (wynikającego z realizacji wsparcia)*. Ilość zużytej energii należy wskazać dla poszczególnych źródeł zużycia wykorzystywanych w procesie (urządzeń, oświetlenia) – na podstawie tabliczek znamionowych oraz czasu ich działania (np. na tabliczce znamionowej wskazano zapotrzebowanie na energię o wartości 1,5 W, a urządzenie pracuje w roku średnio 2 960 godzin, tym samym zużycie energii to 1,5 W* 2 960 h co daje 4 380 Wh, czyli 4,38 kWh) Następnie obie wartości należy porównać i wskazać spadek w % w odniesieniu do stanu bazowego.</w:t>
      </w:r>
    </w:p>
    <w:p w14:paraId="151E1ADD" w14:textId="77777777" w:rsidR="00480D18" w:rsidRPr="00CC6776" w:rsidRDefault="00480D18" w:rsidP="00480D18">
      <w:pPr>
        <w:pStyle w:val="Akapitzlist"/>
        <w:numPr>
          <w:ilvl w:val="0"/>
          <w:numId w:val="15"/>
        </w:numPr>
        <w:spacing w:after="0" w:line="240" w:lineRule="auto"/>
        <w:jc w:val="both"/>
        <w:rPr>
          <w:iCs/>
        </w:rPr>
      </w:pPr>
      <w:r w:rsidRPr="00CC6776">
        <w:rPr>
          <w:iCs/>
        </w:rPr>
        <w:t>W przypadku redukcji emisji gazów cieplarnianych – redukcję emisji gazów cieplarnianych będzie stanowić iloczyn różnicy zużycia energii dotyczących stanu bazowego i stanu docelowego (wynikającego z realizacji wsparcia) i wskaźnika w [kg/MWh] dla odbiorców końcowych energii elektrycznej wskazanego w aktualnym opracowaniu Krajowego Ośrodka Bilansowania i Zarządzania Emisjami (KOBIZE) pn. Wskaźniki emisyjności dla energii elektrycznej – np. różnica pomiędzy stanem bazowym a docelowym wynosi 2000 kWh (2 MWh), tym samym zgodnie z opracowaniem Wskaźniki emisyjności dla energii elektrycznej za rok 2022 opublikowane w grudniu 2023 r. wynosi 685 kg CO2 na 1 MWh. Zatem uniknięta emisja to 1370 kg CO2. Do wyliczenia śladu węglowego należy stosować metodykę GHG Protocol wskazującą na 3 zakresy emisji.</w:t>
      </w:r>
    </w:p>
    <w:p w14:paraId="3EF93D64" w14:textId="77777777" w:rsidR="00480D18" w:rsidRPr="00CC6776" w:rsidRDefault="00480D18" w:rsidP="00480D18">
      <w:pPr>
        <w:jc w:val="both"/>
        <w:rPr>
          <w:iCs/>
        </w:rPr>
      </w:pPr>
    </w:p>
    <w:p w14:paraId="7AB50C80" w14:textId="77777777" w:rsidR="00480D18" w:rsidRPr="00325FC9" w:rsidRDefault="00480D18" w:rsidP="00480D18">
      <w:pPr>
        <w:jc w:val="both"/>
        <w:rPr>
          <w:i/>
        </w:rPr>
      </w:pPr>
      <w:r w:rsidRPr="00325FC9">
        <w:rPr>
          <w:i/>
        </w:rPr>
        <w:t>Spełnienie warunku następuje w oparciu o dokumentację pożyczkową.</w:t>
      </w:r>
    </w:p>
    <w:p w14:paraId="0EAD8F47" w14:textId="77777777" w:rsidR="00480D18" w:rsidRDefault="00480D18" w:rsidP="00480D18">
      <w:pPr>
        <w:pStyle w:val="Akapitzlist"/>
        <w:rPr>
          <w:rFonts w:cstheme="minorHAnsi"/>
          <w:b/>
          <w:bCs/>
          <w:iCs/>
        </w:rPr>
      </w:pPr>
    </w:p>
    <w:p w14:paraId="606337DA" w14:textId="6840AB45" w:rsidR="00774594" w:rsidRPr="00CC6776" w:rsidRDefault="00774594" w:rsidP="00D968C9">
      <w:pPr>
        <w:pStyle w:val="Akapitzlist"/>
        <w:numPr>
          <w:ilvl w:val="0"/>
          <w:numId w:val="13"/>
        </w:numPr>
        <w:rPr>
          <w:rFonts w:cstheme="minorHAnsi"/>
          <w:b/>
          <w:bCs/>
          <w:iCs/>
        </w:rPr>
      </w:pPr>
      <w:r w:rsidRPr="00CC6776">
        <w:rPr>
          <w:rFonts w:cstheme="minorHAnsi"/>
          <w:b/>
          <w:bCs/>
          <w:iCs/>
        </w:rPr>
        <w:t xml:space="preserve">Warunek nr </w:t>
      </w:r>
      <w:r w:rsidR="00480D18">
        <w:rPr>
          <w:rFonts w:cstheme="minorHAnsi"/>
          <w:b/>
          <w:bCs/>
          <w:iCs/>
        </w:rPr>
        <w:t>2a</w:t>
      </w:r>
    </w:p>
    <w:p w14:paraId="59629A42" w14:textId="228719AF" w:rsidR="00774594" w:rsidRPr="00325FC9" w:rsidRDefault="00774594" w:rsidP="00774594">
      <w:pPr>
        <w:rPr>
          <w:rFonts w:cstheme="minorHAnsi"/>
          <w:b/>
          <w:iCs/>
        </w:rPr>
      </w:pPr>
      <w:r w:rsidRPr="00CC6776">
        <w:rPr>
          <w:rFonts w:cstheme="minorHAnsi"/>
          <w:b/>
          <w:iCs/>
        </w:rPr>
        <w:t xml:space="preserve">Inwestycje realizowanych na terenach gmin, dla których </w:t>
      </w:r>
      <w:r w:rsidR="007249DC" w:rsidRPr="007249DC">
        <w:rPr>
          <w:rFonts w:cstheme="minorHAnsi"/>
          <w:b/>
          <w:iCs/>
        </w:rPr>
        <w:t>indywidualny wskaźnik zamożności jednostki samorządu terytorialnego</w:t>
      </w:r>
      <w:r w:rsidR="007249DC">
        <w:rPr>
          <w:rFonts w:cstheme="minorHAnsi"/>
          <w:b/>
          <w:iCs/>
        </w:rPr>
        <w:t xml:space="preserve"> </w:t>
      </w:r>
      <w:r w:rsidRPr="00CC6776">
        <w:rPr>
          <w:rFonts w:cstheme="minorHAnsi"/>
          <w:b/>
          <w:iCs/>
        </w:rPr>
        <w:t>jest poniżej średniej regionalnej lub OSI Obszary Marginalizacji lub OSI Miasta tracące funkcje społeczno-gospodarcze lub Integratora Mazurskiego lub na terenie przygranicznych powiatów województwa.</w:t>
      </w:r>
    </w:p>
    <w:p w14:paraId="36C4BDAE" w14:textId="5649ECE0" w:rsidR="00774594" w:rsidRPr="00CC6776" w:rsidRDefault="00774594" w:rsidP="00774594">
      <w:pPr>
        <w:jc w:val="both"/>
        <w:rPr>
          <w:rFonts w:cstheme="minorHAnsi"/>
          <w:b/>
          <w:bCs/>
          <w:iCs/>
          <w:color w:val="000000" w:themeColor="text1"/>
        </w:rPr>
      </w:pPr>
      <w:r w:rsidRPr="00CC6776">
        <w:rPr>
          <w:rFonts w:cstheme="minorHAnsi"/>
          <w:b/>
          <w:bCs/>
          <w:iCs/>
          <w:color w:val="000000" w:themeColor="text1"/>
        </w:rPr>
        <w:t xml:space="preserve">Tabela 1. Wykaz gmin, dla których </w:t>
      </w:r>
      <w:r w:rsidR="00A943AD" w:rsidRPr="00A943AD">
        <w:rPr>
          <w:rFonts w:cstheme="minorHAnsi"/>
          <w:b/>
          <w:bCs/>
          <w:iCs/>
          <w:color w:val="000000" w:themeColor="text1"/>
        </w:rPr>
        <w:t>indywidualny wskaźnik zamożności jednostki samorządu terytorialnego</w:t>
      </w:r>
      <w:r w:rsidR="00A943AD">
        <w:rPr>
          <w:rFonts w:cstheme="minorHAnsi"/>
          <w:b/>
          <w:bCs/>
          <w:iCs/>
          <w:color w:val="000000" w:themeColor="text1"/>
        </w:rPr>
        <w:t xml:space="preserve"> </w:t>
      </w:r>
      <w:r w:rsidRPr="00CC6776">
        <w:rPr>
          <w:rFonts w:cstheme="minorHAnsi"/>
          <w:b/>
          <w:bCs/>
          <w:iCs/>
          <w:color w:val="000000" w:themeColor="text1"/>
        </w:rPr>
        <w:t xml:space="preserve"> jest poniżej średniej regionalnej</w:t>
      </w:r>
    </w:p>
    <w:p w14:paraId="34AD7EAC" w14:textId="77777777" w:rsidR="00774594" w:rsidRPr="00CC6776" w:rsidRDefault="00774594" w:rsidP="00774594">
      <w:pPr>
        <w:pStyle w:val="pf1"/>
        <w:spacing w:before="0" w:beforeAutospacing="0" w:after="0" w:afterAutospacing="0"/>
        <w:rPr>
          <w:rFonts w:asciiTheme="minorHAnsi" w:hAnsiTheme="minorHAnsi" w:cstheme="minorHAnsi"/>
          <w:iCs/>
          <w:sz w:val="22"/>
          <w:szCs w:val="22"/>
        </w:rPr>
      </w:pPr>
      <w:r w:rsidRPr="00CC6776">
        <w:rPr>
          <w:rStyle w:val="cf21"/>
          <w:rFonts w:asciiTheme="minorHAnsi" w:hAnsiTheme="minorHAnsi" w:cstheme="minorHAnsi"/>
          <w:iCs/>
          <w:sz w:val="22"/>
          <w:szCs w:val="22"/>
        </w:rPr>
        <w:lastRenderedPageBreak/>
        <w:t xml:space="preserve">Informacja rokrocznie (styczeń) umieszczana będzie na stronie programu regionalnego FEWiM 2021 – 2027 </w:t>
      </w:r>
    </w:p>
    <w:p w14:paraId="7EE16ABE" w14:textId="77777777" w:rsidR="00774594" w:rsidRPr="00CC6776" w:rsidRDefault="00774594" w:rsidP="00774594">
      <w:pPr>
        <w:pStyle w:val="pf0"/>
        <w:spacing w:before="0" w:beforeAutospacing="0" w:after="0" w:afterAutospacing="0"/>
        <w:rPr>
          <w:rFonts w:asciiTheme="minorHAnsi" w:hAnsiTheme="minorHAnsi" w:cstheme="minorHAnsi"/>
          <w:iCs/>
          <w:sz w:val="22"/>
          <w:szCs w:val="22"/>
        </w:rPr>
      </w:pPr>
      <w:hyperlink r:id="rId11" w:history="1">
        <w:r w:rsidRPr="00CC6776">
          <w:rPr>
            <w:rStyle w:val="cf21"/>
            <w:rFonts w:asciiTheme="minorHAnsi" w:hAnsiTheme="minorHAnsi" w:cstheme="minorHAnsi"/>
            <w:iCs/>
            <w:color w:val="0000FF"/>
            <w:sz w:val="22"/>
            <w:szCs w:val="22"/>
            <w:u w:val="single"/>
          </w:rPr>
          <w:t>https://funduszeeuropejskie.warmia.mazury.pl/</w:t>
        </w:r>
      </w:hyperlink>
    </w:p>
    <w:p w14:paraId="28C8E832" w14:textId="77777777" w:rsidR="00774594" w:rsidRPr="00CC6776" w:rsidRDefault="00774594" w:rsidP="00774594">
      <w:pPr>
        <w:pStyle w:val="pf0"/>
        <w:spacing w:before="0" w:beforeAutospacing="0" w:after="0" w:afterAutospacing="0"/>
        <w:rPr>
          <w:rFonts w:asciiTheme="minorHAnsi" w:hAnsiTheme="minorHAnsi" w:cstheme="minorHAnsi"/>
          <w:iCs/>
          <w:sz w:val="22"/>
          <w:szCs w:val="22"/>
        </w:rPr>
      </w:pPr>
      <w:r w:rsidRPr="00CC6776">
        <w:rPr>
          <w:rStyle w:val="cf21"/>
          <w:rFonts w:asciiTheme="minorHAnsi" w:hAnsiTheme="minorHAnsi" w:cstheme="minorHAnsi"/>
          <w:iCs/>
          <w:sz w:val="22"/>
          <w:szCs w:val="22"/>
        </w:rPr>
        <w:t xml:space="preserve">Link bezpośredni: </w:t>
      </w:r>
    </w:p>
    <w:p w14:paraId="3E8092AB" w14:textId="77777777" w:rsidR="00774594" w:rsidRPr="00CC6776" w:rsidRDefault="00774594" w:rsidP="00774594">
      <w:pPr>
        <w:pStyle w:val="pf0"/>
        <w:spacing w:before="0" w:beforeAutospacing="0" w:after="0" w:afterAutospacing="0"/>
        <w:rPr>
          <w:rStyle w:val="cf21"/>
          <w:rFonts w:asciiTheme="minorHAnsi" w:hAnsiTheme="minorHAnsi" w:cstheme="minorHAnsi"/>
          <w:iCs/>
          <w:color w:val="0000FF"/>
          <w:sz w:val="22"/>
          <w:szCs w:val="22"/>
          <w:u w:val="single"/>
        </w:rPr>
      </w:pPr>
      <w:hyperlink r:id="rId12" w:history="1">
        <w:r w:rsidRPr="00CC6776">
          <w:rPr>
            <w:rStyle w:val="cf21"/>
            <w:rFonts w:asciiTheme="minorHAnsi" w:hAnsiTheme="minorHAnsi" w:cstheme="minorHAnsi"/>
            <w:iCs/>
            <w:color w:val="0000FF"/>
            <w:sz w:val="22"/>
            <w:szCs w:val="22"/>
            <w:u w:val="single"/>
          </w:rPr>
          <w:t>https://funduszeeuropejskie.warmia.mazury.pl/artykul/469/wskaznik-g</w:t>
        </w:r>
      </w:hyperlink>
    </w:p>
    <w:p w14:paraId="65876F0E" w14:textId="77777777" w:rsidR="00774594" w:rsidRPr="00CC6776" w:rsidRDefault="00774594" w:rsidP="00774594">
      <w:pPr>
        <w:jc w:val="both"/>
        <w:rPr>
          <w:rFonts w:cstheme="minorHAnsi"/>
          <w:b/>
          <w:bCs/>
          <w:iCs/>
          <w:color w:val="000000" w:themeColor="text1"/>
        </w:rPr>
      </w:pPr>
    </w:p>
    <w:p w14:paraId="17BC4A20" w14:textId="77777777" w:rsidR="00774594" w:rsidRPr="00CC6776" w:rsidRDefault="00774594" w:rsidP="00774594">
      <w:pPr>
        <w:jc w:val="both"/>
        <w:rPr>
          <w:rFonts w:cstheme="minorHAnsi"/>
          <w:b/>
          <w:bCs/>
          <w:iCs/>
          <w:color w:val="000000" w:themeColor="text1"/>
        </w:rPr>
      </w:pPr>
      <w:r w:rsidRPr="00CC6776">
        <w:rPr>
          <w:rFonts w:cstheme="minorHAnsi"/>
          <w:b/>
          <w:bCs/>
          <w:iCs/>
          <w:color w:val="000000" w:themeColor="text1"/>
        </w:rPr>
        <w:t>Tabela 2. Wykaz obszarów OSI Obszary Marginalizacji</w:t>
      </w:r>
    </w:p>
    <w:tbl>
      <w:tblPr>
        <w:tblStyle w:val="nowy1"/>
        <w:tblW w:w="0" w:type="auto"/>
        <w:tblLook w:val="04A0" w:firstRow="1" w:lastRow="0" w:firstColumn="1" w:lastColumn="0" w:noHBand="0" w:noVBand="1"/>
      </w:tblPr>
      <w:tblGrid>
        <w:gridCol w:w="2888"/>
        <w:gridCol w:w="3313"/>
        <w:gridCol w:w="2861"/>
      </w:tblGrid>
      <w:tr w:rsidR="00774594" w:rsidRPr="00CC6776" w14:paraId="207ADCDA" w14:textId="77777777" w:rsidTr="0035578A">
        <w:tc>
          <w:tcPr>
            <w:tcW w:w="2888" w:type="dxa"/>
            <w:tcBorders>
              <w:bottom w:val="single" w:sz="4" w:space="0" w:color="auto"/>
            </w:tcBorders>
          </w:tcPr>
          <w:p w14:paraId="2D745F87" w14:textId="77777777" w:rsidR="00774594" w:rsidRPr="00CC6776" w:rsidRDefault="00774594" w:rsidP="0035578A">
            <w:pPr>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xml:space="preserve">gminy miejsko-wiejskie: </w:t>
            </w:r>
          </w:p>
        </w:tc>
        <w:tc>
          <w:tcPr>
            <w:tcW w:w="3313" w:type="dxa"/>
            <w:tcBorders>
              <w:bottom w:val="single" w:sz="4" w:space="0" w:color="auto"/>
            </w:tcBorders>
          </w:tcPr>
          <w:p w14:paraId="648196D5" w14:textId="77777777" w:rsidR="00774594" w:rsidRPr="00CC6776" w:rsidRDefault="00774594" w:rsidP="0035578A">
            <w:pPr>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xml:space="preserve">gminy wiejskie: </w:t>
            </w:r>
          </w:p>
        </w:tc>
        <w:tc>
          <w:tcPr>
            <w:tcW w:w="2861" w:type="dxa"/>
            <w:tcBorders>
              <w:bottom w:val="single" w:sz="4" w:space="0" w:color="auto"/>
            </w:tcBorders>
          </w:tcPr>
          <w:p w14:paraId="5A844C95" w14:textId="77777777" w:rsidR="00774594" w:rsidRPr="00325FC9" w:rsidRDefault="00774594" w:rsidP="0035578A">
            <w:pPr>
              <w:rPr>
                <w:rFonts w:asciiTheme="minorHAnsi" w:hAnsiTheme="minorHAnsi" w:cstheme="minorHAnsi"/>
                <w:iCs/>
                <w:color w:val="000000" w:themeColor="text1"/>
                <w:lang w:eastAsia="ja-JP"/>
              </w:rPr>
            </w:pPr>
            <w:r w:rsidRPr="00325FC9">
              <w:rPr>
                <w:rFonts w:asciiTheme="minorHAnsi" w:hAnsiTheme="minorHAnsi" w:cstheme="minorHAnsi"/>
                <w:color w:val="000000" w:themeColor="text1"/>
                <w:lang w:eastAsia="ja-JP"/>
              </w:rPr>
              <w:t>Gmina miejska</w:t>
            </w:r>
          </w:p>
        </w:tc>
      </w:tr>
      <w:tr w:rsidR="00774594" w:rsidRPr="00CC6776" w14:paraId="1E94EC06" w14:textId="77777777" w:rsidTr="0035578A">
        <w:tc>
          <w:tcPr>
            <w:tcW w:w="2888" w:type="dxa"/>
          </w:tcPr>
          <w:p w14:paraId="2477602D" w14:textId="13C57FC2" w:rsidR="00774594" w:rsidRPr="00CC6776" w:rsidRDefault="00774594" w:rsidP="0035578A">
            <w:pPr>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Biała Piska, Bisztynek,</w:t>
            </w:r>
            <w:r>
              <w:rPr>
                <w:rFonts w:asciiTheme="minorHAnsi" w:hAnsiTheme="minorHAnsi" w:cstheme="minorHAnsi"/>
                <w:iCs/>
                <w:color w:val="000000" w:themeColor="text1"/>
                <w:lang w:eastAsia="ja-JP"/>
              </w:rPr>
              <w:t xml:space="preserve"> </w:t>
            </w:r>
            <w:r w:rsidRPr="00CC6776">
              <w:rPr>
                <w:rFonts w:asciiTheme="minorHAnsi" w:hAnsiTheme="minorHAnsi" w:cstheme="minorHAnsi"/>
                <w:iCs/>
                <w:color w:val="000000" w:themeColor="text1"/>
              </w:rPr>
              <w:t xml:space="preserve"> Jeziorany, </w:t>
            </w:r>
            <w:r w:rsidRPr="00CC6776">
              <w:rPr>
                <w:rFonts w:asciiTheme="minorHAnsi" w:hAnsiTheme="minorHAnsi" w:cstheme="minorHAnsi"/>
                <w:iCs/>
                <w:color w:val="000000" w:themeColor="text1"/>
                <w:lang w:eastAsia="ja-JP"/>
              </w:rPr>
              <w:t xml:space="preserve">Kisielice, Korsze, Lidzbark, Mikołajki, Miłakowo, Młynary, Orneta, Orzysz, Pieniężno, Reszel, Ruciane- Nida, Ryn, Sępopol, Susz, Tolkmicko, Wielbark, Zalewo </w:t>
            </w:r>
          </w:p>
          <w:p w14:paraId="12B1750B" w14:textId="77777777" w:rsidR="00774594" w:rsidRPr="00CC6776" w:rsidRDefault="00774594" w:rsidP="0035578A">
            <w:pPr>
              <w:jc w:val="both"/>
              <w:rPr>
                <w:rFonts w:asciiTheme="minorHAnsi" w:hAnsiTheme="minorHAnsi" w:cstheme="minorHAnsi"/>
                <w:iCs/>
                <w:color w:val="000000" w:themeColor="text1"/>
              </w:rPr>
            </w:pPr>
          </w:p>
        </w:tc>
        <w:tc>
          <w:tcPr>
            <w:tcW w:w="3313" w:type="dxa"/>
          </w:tcPr>
          <w:p w14:paraId="3CE3E08B" w14:textId="13992CAB" w:rsidR="00774594" w:rsidRPr="00CC6776" w:rsidRDefault="00774594" w:rsidP="0035578A">
            <w:pPr>
              <w:jc w:val="both"/>
              <w:rPr>
                <w:rFonts w:asciiTheme="minorHAnsi" w:hAnsiTheme="minorHAnsi" w:cstheme="minorHAnsi"/>
                <w:iCs/>
                <w:color w:val="000000" w:themeColor="text1"/>
              </w:rPr>
            </w:pPr>
            <w:r w:rsidRPr="00CC6776">
              <w:rPr>
                <w:rFonts w:asciiTheme="minorHAnsi" w:hAnsiTheme="minorHAnsi" w:cstheme="minorHAnsi"/>
                <w:iCs/>
                <w:color w:val="000000" w:themeColor="text1"/>
              </w:rPr>
              <w:t>Banie Mazurskie, Barciany, Bartoszyce, Biskupiec, Braniewo, Budry, Dąbrówno, Dubeninki, Działdowo, Dźwierzuty, Godkowo, Grodziczno, Grunwald,</w:t>
            </w:r>
            <w:r>
              <w:rPr>
                <w:rFonts w:asciiTheme="minorHAnsi" w:hAnsiTheme="minorHAnsi" w:cstheme="minorHAnsi"/>
                <w:iCs/>
                <w:color w:val="000000" w:themeColor="text1"/>
              </w:rPr>
              <w:t xml:space="preserve"> </w:t>
            </w:r>
            <w:r w:rsidRPr="00CC6776">
              <w:rPr>
                <w:rFonts w:asciiTheme="minorHAnsi" w:hAnsiTheme="minorHAnsi" w:cstheme="minorHAnsi"/>
                <w:iCs/>
                <w:color w:val="000000" w:themeColor="text1"/>
              </w:rPr>
              <w:t>Górowo Iławeckie</w:t>
            </w:r>
            <w:r>
              <w:rPr>
                <w:rFonts w:asciiTheme="minorHAnsi" w:hAnsiTheme="minorHAnsi" w:cstheme="minorHAnsi"/>
                <w:iCs/>
                <w:color w:val="000000" w:themeColor="text1"/>
              </w:rPr>
              <w:t>,</w:t>
            </w:r>
            <w:r w:rsidRPr="00CC6776">
              <w:rPr>
                <w:rFonts w:asciiTheme="minorHAnsi" w:hAnsiTheme="minorHAnsi" w:cstheme="minorHAnsi"/>
                <w:iCs/>
                <w:color w:val="000000" w:themeColor="text1"/>
              </w:rPr>
              <w:t xml:space="preserve"> Janowiec Kościelny, Janowo,  Kalinowo, Kętrzyn, Kiwity, Kolno, Kowale Oleckie, Kozłowo, Lelkowo, Lubawa, Lubomino, Małdyty, Markusy, Miłki, Nowe Miasto Lubawskie, Piecki, Płoskinia, Płośnica, Pozezdrze, Prostki, Rozogi, Rybno, Rychliki, Sorkwity, Srokowo, Stare Juchy, Świątki, Świętajno, Wieliczki, Wilczęta, Wydminy</w:t>
            </w:r>
          </w:p>
        </w:tc>
        <w:tc>
          <w:tcPr>
            <w:tcW w:w="2861" w:type="dxa"/>
          </w:tcPr>
          <w:p w14:paraId="0D29FB28" w14:textId="77777777" w:rsidR="00774594" w:rsidRPr="00CC6776" w:rsidRDefault="00774594" w:rsidP="0035578A">
            <w:pPr>
              <w:jc w:val="both"/>
              <w:rPr>
                <w:rFonts w:cstheme="minorHAnsi"/>
                <w:iCs/>
                <w:color w:val="000000" w:themeColor="text1"/>
              </w:rPr>
            </w:pPr>
            <w:r w:rsidRPr="00CC6776">
              <w:rPr>
                <w:rFonts w:asciiTheme="minorHAnsi" w:hAnsiTheme="minorHAnsi" w:cstheme="minorHAnsi"/>
                <w:iCs/>
                <w:color w:val="000000" w:themeColor="text1"/>
              </w:rPr>
              <w:t>Górowo Iławeckie</w:t>
            </w:r>
          </w:p>
        </w:tc>
      </w:tr>
    </w:tbl>
    <w:p w14:paraId="522F6863" w14:textId="77777777" w:rsidR="00774594" w:rsidRDefault="00774594" w:rsidP="00774594">
      <w:pPr>
        <w:pBdr>
          <w:bar w:val="single" w:sz="4" w:color="auto"/>
        </w:pBdr>
        <w:spacing w:after="0"/>
        <w:jc w:val="both"/>
        <w:rPr>
          <w:rFonts w:cstheme="minorHAnsi"/>
          <w:iCs/>
          <w:color w:val="000000" w:themeColor="text1"/>
        </w:rPr>
      </w:pPr>
    </w:p>
    <w:p w14:paraId="7FC47F5E" w14:textId="77777777" w:rsidR="00774594" w:rsidRPr="00CC6776" w:rsidRDefault="00774594" w:rsidP="00774594">
      <w:pPr>
        <w:jc w:val="both"/>
        <w:rPr>
          <w:rFonts w:cstheme="minorHAnsi"/>
          <w:b/>
          <w:bCs/>
          <w:iCs/>
          <w:color w:val="000000" w:themeColor="text1"/>
        </w:rPr>
      </w:pPr>
      <w:r w:rsidRPr="00CC6776">
        <w:rPr>
          <w:rFonts w:cstheme="minorHAnsi"/>
          <w:b/>
          <w:bCs/>
          <w:iCs/>
          <w:color w:val="000000" w:themeColor="text1"/>
        </w:rPr>
        <w:t>Tabela 3. Wykaz obszarów OSI Miasta tracące funkcje społeczno-gospodarcze</w:t>
      </w:r>
    </w:p>
    <w:tbl>
      <w:tblPr>
        <w:tblStyle w:val="nowy1"/>
        <w:tblW w:w="0" w:type="auto"/>
        <w:tblLook w:val="04A0" w:firstRow="1" w:lastRow="0" w:firstColumn="1" w:lastColumn="0" w:noHBand="0" w:noVBand="1"/>
      </w:tblPr>
      <w:tblGrid>
        <w:gridCol w:w="4220"/>
        <w:gridCol w:w="4842"/>
      </w:tblGrid>
      <w:tr w:rsidR="00774594" w:rsidRPr="00CC6776" w14:paraId="068506FA" w14:textId="77777777" w:rsidTr="0035578A">
        <w:trPr>
          <w:trHeight w:val="100"/>
        </w:trPr>
        <w:tc>
          <w:tcPr>
            <w:tcW w:w="4220" w:type="dxa"/>
          </w:tcPr>
          <w:p w14:paraId="30573E72" w14:textId="77777777" w:rsidR="00774594" w:rsidRPr="00325FC9" w:rsidRDefault="00774594" w:rsidP="0035578A">
            <w:pPr>
              <w:jc w:val="both"/>
              <w:rPr>
                <w:rFonts w:asciiTheme="minorHAnsi" w:hAnsiTheme="minorHAnsi" w:cstheme="minorHAnsi"/>
                <w:iCs/>
                <w:color w:val="000000" w:themeColor="text1"/>
              </w:rPr>
            </w:pPr>
            <w:r w:rsidRPr="00325FC9">
              <w:rPr>
                <w:rFonts w:asciiTheme="minorHAnsi" w:hAnsiTheme="minorHAnsi" w:cstheme="minorHAnsi"/>
                <w:color w:val="000000" w:themeColor="text1"/>
                <w:lang w:eastAsia="ja-JP"/>
              </w:rPr>
              <w:t>Miasta w gminach miejsko-wiejskich:</w:t>
            </w:r>
          </w:p>
        </w:tc>
        <w:tc>
          <w:tcPr>
            <w:tcW w:w="4842" w:type="dxa"/>
          </w:tcPr>
          <w:p w14:paraId="1E037AA6" w14:textId="77777777" w:rsidR="00774594" w:rsidRPr="00CC6776" w:rsidRDefault="00774594" w:rsidP="0035578A">
            <w:pPr>
              <w:jc w:val="both"/>
              <w:rPr>
                <w:rFonts w:asciiTheme="minorHAnsi" w:hAnsiTheme="minorHAnsi" w:cstheme="minorHAnsi"/>
                <w:iCs/>
                <w:color w:val="000000" w:themeColor="text1"/>
              </w:rPr>
            </w:pPr>
            <w:r w:rsidRPr="00CC6776">
              <w:rPr>
                <w:rFonts w:asciiTheme="minorHAnsi" w:hAnsiTheme="minorHAnsi" w:cstheme="minorHAnsi"/>
                <w:iCs/>
                <w:color w:val="000000" w:themeColor="text1"/>
                <w:lang w:eastAsia="ja-JP"/>
              </w:rPr>
              <w:t>gminy miejskie:</w:t>
            </w:r>
          </w:p>
        </w:tc>
      </w:tr>
      <w:tr w:rsidR="00774594" w:rsidRPr="00CC6776" w14:paraId="4330C255" w14:textId="77777777" w:rsidTr="0035578A">
        <w:trPr>
          <w:trHeight w:val="640"/>
        </w:trPr>
        <w:tc>
          <w:tcPr>
            <w:tcW w:w="4220" w:type="dxa"/>
          </w:tcPr>
          <w:p w14:paraId="3869620A" w14:textId="77777777" w:rsidR="00774594" w:rsidRPr="00CC6776" w:rsidRDefault="00774594" w:rsidP="0035578A">
            <w:pPr>
              <w:jc w:val="both"/>
              <w:rPr>
                <w:rFonts w:asciiTheme="minorHAnsi" w:hAnsiTheme="minorHAnsi" w:cstheme="minorHAnsi"/>
                <w:iCs/>
                <w:color w:val="000000" w:themeColor="text1"/>
              </w:rPr>
            </w:pPr>
            <w:r w:rsidRPr="00CC6776">
              <w:rPr>
                <w:rFonts w:asciiTheme="minorHAnsi" w:hAnsiTheme="minorHAnsi" w:cstheme="minorHAnsi"/>
                <w:iCs/>
                <w:color w:val="000000" w:themeColor="text1"/>
              </w:rPr>
              <w:t>Olecko, Pisz,</w:t>
            </w:r>
          </w:p>
        </w:tc>
        <w:tc>
          <w:tcPr>
            <w:tcW w:w="4842" w:type="dxa"/>
          </w:tcPr>
          <w:p w14:paraId="3DE2DC78" w14:textId="77777777" w:rsidR="00774594" w:rsidRPr="00CC6776" w:rsidRDefault="00774594" w:rsidP="0035578A">
            <w:pPr>
              <w:jc w:val="both"/>
              <w:rPr>
                <w:rFonts w:asciiTheme="minorHAnsi" w:hAnsiTheme="minorHAnsi" w:cstheme="minorHAnsi"/>
                <w:iCs/>
                <w:color w:val="000000" w:themeColor="text1"/>
              </w:rPr>
            </w:pPr>
            <w:r w:rsidRPr="00CC6776">
              <w:rPr>
                <w:rFonts w:asciiTheme="minorHAnsi" w:hAnsiTheme="minorHAnsi" w:cstheme="minorHAnsi"/>
                <w:iCs/>
                <w:color w:val="000000" w:themeColor="text1"/>
              </w:rPr>
              <w:t>Bartoszyce, Braniewo, Działdowo, Elbląg, Ełk, Giżycko, Iława, Kętrzyn, Lidzbark Warmiński,  Mrągowo, Ostróda, Szczytno</w:t>
            </w:r>
          </w:p>
        </w:tc>
      </w:tr>
    </w:tbl>
    <w:p w14:paraId="6ADC16B2" w14:textId="77777777" w:rsidR="00C877D6" w:rsidRDefault="00C877D6" w:rsidP="00774594">
      <w:pPr>
        <w:rPr>
          <w:rFonts w:cstheme="minorHAnsi"/>
          <w:b/>
          <w:bCs/>
          <w:iCs/>
        </w:rPr>
      </w:pPr>
    </w:p>
    <w:p w14:paraId="07507D35" w14:textId="77777777" w:rsidR="00774594" w:rsidRPr="00CC6776" w:rsidRDefault="00774594" w:rsidP="00774594">
      <w:pPr>
        <w:rPr>
          <w:rFonts w:cstheme="minorHAnsi"/>
          <w:b/>
          <w:bCs/>
          <w:iCs/>
        </w:rPr>
      </w:pPr>
      <w:r w:rsidRPr="00CC6776">
        <w:rPr>
          <w:rFonts w:cstheme="minorHAnsi"/>
          <w:b/>
          <w:bCs/>
          <w:iCs/>
        </w:rPr>
        <w:t>Tabela 4: Wykaz obszarów Integratora Mazurskiego</w:t>
      </w:r>
    </w:p>
    <w:p w14:paraId="35DFFBBF" w14:textId="77777777" w:rsidR="00774594" w:rsidRPr="00C62B6E" w:rsidRDefault="00774594" w:rsidP="00774594">
      <w:pPr>
        <w:rPr>
          <w:rFonts w:cstheme="minorHAnsi"/>
          <w:iCs/>
        </w:rPr>
      </w:pPr>
      <w:r w:rsidRPr="00C62B6E">
        <w:rPr>
          <w:rFonts w:cstheme="minorHAnsi"/>
          <w:iCs/>
        </w:rPr>
        <w:t>Strefa aktywności gospodarczej na terenach inwestycyjnych zlokalizowanych w pobliżu Portu Lotniczego Olsztyn-Mazury. Obszar ten obejmuje działki objęte miejscowym planem zagospodarowania przestrzennego uchwalonym uchwałą nr V/43/2019 Rady Gminy Szczytno z dnia 28 lutego 2019 r. położone w m. Szymany o następujących numerach geodezyjnych: 463/45, 463/46, 463/50, 463/56, 463/57, 463/60, 463/61, 463/64, 463/65, 463/66, 463/67, 463/68, 463/69.</w:t>
      </w:r>
    </w:p>
    <w:p w14:paraId="185F9F8E" w14:textId="77777777" w:rsidR="00C877D6" w:rsidRDefault="00C877D6" w:rsidP="00774594">
      <w:pPr>
        <w:rPr>
          <w:rFonts w:cstheme="minorHAnsi"/>
          <w:b/>
          <w:bCs/>
          <w:iCs/>
        </w:rPr>
      </w:pPr>
    </w:p>
    <w:p w14:paraId="2778CBDA" w14:textId="77777777" w:rsidR="00C877D6" w:rsidRDefault="00C877D6" w:rsidP="00774594">
      <w:pPr>
        <w:rPr>
          <w:rFonts w:cstheme="minorHAnsi"/>
          <w:b/>
          <w:bCs/>
          <w:iCs/>
        </w:rPr>
      </w:pPr>
    </w:p>
    <w:p w14:paraId="603125B0" w14:textId="77777777" w:rsidR="00C877D6" w:rsidRDefault="00C877D6" w:rsidP="00774594">
      <w:pPr>
        <w:rPr>
          <w:rFonts w:cstheme="minorHAnsi"/>
          <w:b/>
          <w:bCs/>
          <w:iCs/>
        </w:rPr>
      </w:pPr>
    </w:p>
    <w:p w14:paraId="6CC9AFA4" w14:textId="77777777" w:rsidR="00774594" w:rsidRPr="00CC6776" w:rsidRDefault="00774594" w:rsidP="00774594">
      <w:pPr>
        <w:rPr>
          <w:rFonts w:cstheme="minorHAnsi"/>
          <w:iCs/>
          <w:color w:val="000000"/>
          <w:lang w:eastAsia="ja-JP"/>
        </w:rPr>
      </w:pPr>
      <w:r w:rsidRPr="00CC6776">
        <w:rPr>
          <w:rFonts w:cstheme="minorHAnsi"/>
          <w:b/>
          <w:bCs/>
          <w:iCs/>
        </w:rPr>
        <w:lastRenderedPageBreak/>
        <w:t>Tabela 5. Wykaz przygranicznych powiatów województwa warmińsko-mazurskiego</w:t>
      </w:r>
    </w:p>
    <w:tbl>
      <w:tblPr>
        <w:tblStyle w:val="nowy1"/>
        <w:tblW w:w="0" w:type="auto"/>
        <w:jc w:val="center"/>
        <w:tblLook w:val="04A0" w:firstRow="1" w:lastRow="0" w:firstColumn="1" w:lastColumn="0" w:noHBand="0" w:noVBand="1"/>
      </w:tblPr>
      <w:tblGrid>
        <w:gridCol w:w="9062"/>
      </w:tblGrid>
      <w:tr w:rsidR="00774594" w:rsidRPr="00CC6776" w14:paraId="61FCBC91" w14:textId="77777777" w:rsidTr="0035578A">
        <w:trPr>
          <w:trHeight w:val="1376"/>
          <w:jc w:val="center"/>
        </w:trPr>
        <w:tc>
          <w:tcPr>
            <w:tcW w:w="9062" w:type="dxa"/>
          </w:tcPr>
          <w:p w14:paraId="10641DF1"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braniewski</w:t>
            </w:r>
          </w:p>
          <w:p w14:paraId="6BDD67A9"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bartoszycki</w:t>
            </w:r>
          </w:p>
          <w:p w14:paraId="27DEB8AE"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kętrzyński</w:t>
            </w:r>
          </w:p>
          <w:p w14:paraId="265FAF79"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węgorzewski</w:t>
            </w:r>
          </w:p>
          <w:p w14:paraId="3FDB7AA4"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xml:space="preserve">- gołdapski </w:t>
            </w:r>
          </w:p>
        </w:tc>
      </w:tr>
    </w:tbl>
    <w:p w14:paraId="37DB0275" w14:textId="77777777" w:rsidR="00774594" w:rsidRPr="00CC6776" w:rsidRDefault="00774594" w:rsidP="00774594">
      <w:pPr>
        <w:rPr>
          <w:rFonts w:cstheme="minorHAnsi"/>
          <w:iCs/>
        </w:rPr>
      </w:pPr>
    </w:p>
    <w:p w14:paraId="67FA1F0A" w14:textId="77777777" w:rsidR="00774594" w:rsidRPr="00325FC9" w:rsidRDefault="00774594" w:rsidP="00774594">
      <w:pPr>
        <w:jc w:val="both"/>
        <w:rPr>
          <w:i/>
        </w:rPr>
      </w:pPr>
      <w:r w:rsidRPr="00325FC9">
        <w:rPr>
          <w:i/>
        </w:rPr>
        <w:t xml:space="preserve">Spełnienie warunku następuje w oparciu o dokumentację pożyczkową.  </w:t>
      </w:r>
    </w:p>
    <w:p w14:paraId="0185A8FD" w14:textId="77777777" w:rsidR="00774594" w:rsidRPr="00CC6776" w:rsidRDefault="00774594" w:rsidP="00774594">
      <w:pPr>
        <w:rPr>
          <w:rFonts w:cstheme="minorHAnsi"/>
          <w:iCs/>
        </w:rPr>
      </w:pPr>
    </w:p>
    <w:p w14:paraId="7FB0AA07" w14:textId="46AED0C4" w:rsidR="00774594" w:rsidRPr="00CC6776" w:rsidRDefault="00774594" w:rsidP="00D968C9">
      <w:pPr>
        <w:pStyle w:val="Akapitzlist"/>
        <w:numPr>
          <w:ilvl w:val="0"/>
          <w:numId w:val="13"/>
        </w:numPr>
        <w:rPr>
          <w:rFonts w:cstheme="minorHAnsi"/>
          <w:b/>
          <w:bCs/>
          <w:iCs/>
        </w:rPr>
      </w:pPr>
      <w:r w:rsidRPr="00CC6776">
        <w:rPr>
          <w:rFonts w:cstheme="minorHAnsi"/>
          <w:b/>
          <w:bCs/>
          <w:iCs/>
        </w:rPr>
        <w:t>Warunek nr 2</w:t>
      </w:r>
      <w:r w:rsidR="00480D18">
        <w:rPr>
          <w:rFonts w:cstheme="minorHAnsi"/>
          <w:b/>
          <w:bCs/>
          <w:iCs/>
        </w:rPr>
        <w:t xml:space="preserve"> b</w:t>
      </w:r>
    </w:p>
    <w:p w14:paraId="3777D09F" w14:textId="4099E41E" w:rsidR="00774594" w:rsidRPr="00CC6776" w:rsidRDefault="00A76E72" w:rsidP="00774594">
      <w:pPr>
        <w:rPr>
          <w:rFonts w:cstheme="minorHAnsi"/>
          <w:b/>
          <w:iCs/>
        </w:rPr>
      </w:pPr>
      <w:r>
        <w:rPr>
          <w:rFonts w:cstheme="minorHAnsi"/>
          <w:b/>
          <w:iCs/>
        </w:rPr>
        <w:t xml:space="preserve">Tabela 6. </w:t>
      </w:r>
      <w:r w:rsidR="00774594" w:rsidRPr="00CC6776">
        <w:rPr>
          <w:rFonts w:cstheme="minorHAnsi"/>
          <w:b/>
          <w:iCs/>
        </w:rPr>
        <w:t>Inwestycje wykazujące wpływ na rozwój inteligentnych specjalizacji regionalnych.</w:t>
      </w:r>
    </w:p>
    <w:tbl>
      <w:tblPr>
        <w:tblStyle w:val="nowy1"/>
        <w:tblW w:w="0" w:type="auto"/>
        <w:jc w:val="center"/>
        <w:tblLook w:val="04A0" w:firstRow="1" w:lastRow="0" w:firstColumn="1" w:lastColumn="0" w:noHBand="0" w:noVBand="1"/>
      </w:tblPr>
      <w:tblGrid>
        <w:gridCol w:w="4197"/>
        <w:gridCol w:w="4865"/>
      </w:tblGrid>
      <w:tr w:rsidR="00774594" w:rsidRPr="00CC6776" w14:paraId="18A4E731" w14:textId="77777777" w:rsidTr="0035578A">
        <w:trPr>
          <w:trHeight w:val="356"/>
          <w:jc w:val="center"/>
        </w:trPr>
        <w:tc>
          <w:tcPr>
            <w:tcW w:w="9062" w:type="dxa"/>
            <w:gridSpan w:val="2"/>
          </w:tcPr>
          <w:p w14:paraId="0A8B2F5E" w14:textId="77777777" w:rsidR="00774594" w:rsidRPr="00CC6776" w:rsidRDefault="00774594" w:rsidP="0035578A">
            <w:pPr>
              <w:jc w:val="both"/>
              <w:rPr>
                <w:rFonts w:asciiTheme="minorHAnsi" w:hAnsiTheme="minorHAnsi" w:cstheme="minorHAnsi"/>
                <w:iCs/>
                <w:color w:val="000000" w:themeColor="text1"/>
              </w:rPr>
            </w:pPr>
            <w:r w:rsidRPr="00CC6776">
              <w:rPr>
                <w:rFonts w:asciiTheme="minorHAnsi" w:hAnsiTheme="minorHAnsi" w:cstheme="minorHAnsi"/>
                <w:iCs/>
                <w:color w:val="000000" w:themeColor="text1"/>
              </w:rPr>
              <w:t>Wykaz inteligentnych specjalizacji Warmii i Mazur</w:t>
            </w:r>
          </w:p>
        </w:tc>
      </w:tr>
      <w:tr w:rsidR="00774594" w:rsidRPr="00CC6776" w14:paraId="46AAB751" w14:textId="77777777" w:rsidTr="0035578A">
        <w:trPr>
          <w:jc w:val="center"/>
        </w:trPr>
        <w:tc>
          <w:tcPr>
            <w:tcW w:w="4197" w:type="dxa"/>
            <w:tcBorders>
              <w:bottom w:val="single" w:sz="4" w:space="0" w:color="auto"/>
            </w:tcBorders>
          </w:tcPr>
          <w:p w14:paraId="09460591" w14:textId="77777777" w:rsidR="00774594" w:rsidRPr="00CC6776" w:rsidRDefault="00774594" w:rsidP="0035578A">
            <w:pPr>
              <w:autoSpaceDE w:val="0"/>
              <w:autoSpaceDN w:val="0"/>
              <w:adjustRightInd w:val="0"/>
              <w:rPr>
                <w:rFonts w:asciiTheme="minorHAnsi" w:hAnsiTheme="minorHAnsi" w:cstheme="minorHAnsi"/>
                <w:b/>
                <w:iCs/>
                <w:color w:val="000000" w:themeColor="text1"/>
                <w:lang w:eastAsia="ja-JP"/>
              </w:rPr>
            </w:pPr>
            <w:r w:rsidRPr="00CC6776">
              <w:rPr>
                <w:rFonts w:asciiTheme="minorHAnsi" w:hAnsiTheme="minorHAnsi" w:cstheme="minorHAnsi"/>
                <w:b/>
                <w:iCs/>
                <w:color w:val="000000" w:themeColor="text1"/>
                <w:lang w:eastAsia="ja-JP"/>
              </w:rPr>
              <w:t>Drewno i meblarstwo;</w:t>
            </w:r>
          </w:p>
        </w:tc>
        <w:tc>
          <w:tcPr>
            <w:tcW w:w="4865" w:type="dxa"/>
            <w:tcBorders>
              <w:bottom w:val="single" w:sz="4" w:space="0" w:color="auto"/>
            </w:tcBorders>
          </w:tcPr>
          <w:p w14:paraId="5E503915" w14:textId="77777777" w:rsidR="00774594" w:rsidRPr="00CC6776" w:rsidRDefault="00774594" w:rsidP="0035578A">
            <w:pPr>
              <w:autoSpaceDE w:val="0"/>
              <w:autoSpaceDN w:val="0"/>
              <w:adjustRightInd w:val="0"/>
              <w:rPr>
                <w:rFonts w:asciiTheme="minorHAnsi" w:hAnsiTheme="minorHAnsi" w:cstheme="minorHAnsi"/>
                <w:b/>
                <w:iCs/>
                <w:color w:val="000000" w:themeColor="text1"/>
                <w:lang w:eastAsia="ja-JP"/>
              </w:rPr>
            </w:pPr>
            <w:r w:rsidRPr="00CC6776">
              <w:rPr>
                <w:rFonts w:asciiTheme="minorHAnsi" w:hAnsiTheme="minorHAnsi" w:cstheme="minorHAnsi"/>
                <w:b/>
                <w:iCs/>
                <w:color w:val="000000" w:themeColor="text1"/>
                <w:lang w:eastAsia="ja-JP"/>
              </w:rPr>
              <w:t xml:space="preserve">Ekonomia wody; </w:t>
            </w:r>
          </w:p>
        </w:tc>
      </w:tr>
      <w:tr w:rsidR="00774594" w:rsidRPr="00CC6776" w14:paraId="3C390759" w14:textId="77777777" w:rsidTr="00DE42A0">
        <w:trPr>
          <w:trHeight w:val="1453"/>
          <w:jc w:val="center"/>
        </w:trPr>
        <w:tc>
          <w:tcPr>
            <w:tcW w:w="4197" w:type="dxa"/>
          </w:tcPr>
          <w:p w14:paraId="1E476C5B"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przetwórstwo i sprzedaż drewna</w:t>
            </w:r>
          </w:p>
          <w:p w14:paraId="35148EF0"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produkcja mebli</w:t>
            </w:r>
          </w:p>
          <w:p w14:paraId="70BC69A5"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sprzedaż produktów drzewno-meblarskich</w:t>
            </w:r>
          </w:p>
          <w:p w14:paraId="072DE4B1"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usługi projektowe</w:t>
            </w:r>
          </w:p>
          <w:p w14:paraId="06AB169F"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naprawa i konserwacja</w:t>
            </w:r>
          </w:p>
          <w:p w14:paraId="6C8F8DB4"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produkcja innych wyrobów stolarskich</w:t>
            </w:r>
          </w:p>
          <w:p w14:paraId="5A3C1838"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nauka i IOB</w:t>
            </w:r>
          </w:p>
        </w:tc>
        <w:tc>
          <w:tcPr>
            <w:tcW w:w="4865" w:type="dxa"/>
          </w:tcPr>
          <w:p w14:paraId="4E79F07D"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produkcja maszyn</w:t>
            </w:r>
          </w:p>
          <w:p w14:paraId="370BC493"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transport wodny</w:t>
            </w:r>
          </w:p>
          <w:p w14:paraId="59811B16"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sporty wodne</w:t>
            </w:r>
          </w:p>
          <w:p w14:paraId="48F8F31C"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produkcja jachtów i łodzi</w:t>
            </w:r>
          </w:p>
          <w:p w14:paraId="11934407"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środowisko przyrodnicze i jego ochrona</w:t>
            </w:r>
          </w:p>
          <w:p w14:paraId="59A585A0"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przemysł rolno-spożywczy</w:t>
            </w:r>
          </w:p>
          <w:p w14:paraId="3E043719"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nauka i IOB</w:t>
            </w:r>
          </w:p>
          <w:p w14:paraId="42C28A1B" w14:textId="77777777" w:rsidR="00774594" w:rsidRPr="00CC6776" w:rsidRDefault="00774594" w:rsidP="00EF7C07">
            <w:pPr>
              <w:spacing w:after="0"/>
              <w:jc w:val="both"/>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zakwaterowanie i odnowa biologiczna</w:t>
            </w:r>
          </w:p>
        </w:tc>
      </w:tr>
      <w:tr w:rsidR="00774594" w:rsidRPr="00CC6776" w14:paraId="19E4D11C" w14:textId="77777777" w:rsidTr="0035578A">
        <w:trPr>
          <w:trHeight w:val="274"/>
          <w:jc w:val="center"/>
        </w:trPr>
        <w:tc>
          <w:tcPr>
            <w:tcW w:w="4197" w:type="dxa"/>
            <w:vAlign w:val="center"/>
          </w:tcPr>
          <w:p w14:paraId="72DBBD7E" w14:textId="77777777" w:rsidR="00774594" w:rsidRPr="00CC6776" w:rsidRDefault="00774594" w:rsidP="0035578A">
            <w:pPr>
              <w:autoSpaceDE w:val="0"/>
              <w:autoSpaceDN w:val="0"/>
              <w:adjustRightInd w:val="0"/>
              <w:rPr>
                <w:rFonts w:asciiTheme="minorHAnsi" w:hAnsiTheme="minorHAnsi" w:cstheme="minorHAnsi"/>
                <w:b/>
                <w:iCs/>
                <w:color w:val="000000" w:themeColor="text1"/>
                <w:lang w:eastAsia="ja-JP"/>
              </w:rPr>
            </w:pPr>
            <w:r w:rsidRPr="00CC6776">
              <w:rPr>
                <w:rFonts w:asciiTheme="minorHAnsi" w:hAnsiTheme="minorHAnsi" w:cstheme="minorHAnsi"/>
                <w:b/>
                <w:iCs/>
                <w:color w:val="000000" w:themeColor="text1"/>
                <w:lang w:eastAsia="ja-JP"/>
              </w:rPr>
              <w:t>Zdrowe życie;</w:t>
            </w:r>
          </w:p>
        </w:tc>
        <w:tc>
          <w:tcPr>
            <w:tcW w:w="4865" w:type="dxa"/>
            <w:vAlign w:val="center"/>
          </w:tcPr>
          <w:p w14:paraId="730174A5" w14:textId="77777777" w:rsidR="00774594" w:rsidRPr="00CC6776" w:rsidRDefault="00774594" w:rsidP="0035578A">
            <w:pPr>
              <w:jc w:val="both"/>
              <w:rPr>
                <w:rFonts w:asciiTheme="minorHAnsi" w:hAnsiTheme="minorHAnsi" w:cstheme="minorHAnsi"/>
                <w:b/>
                <w:iCs/>
                <w:color w:val="000000" w:themeColor="text1"/>
              </w:rPr>
            </w:pPr>
            <w:r w:rsidRPr="00CC6776">
              <w:rPr>
                <w:rFonts w:asciiTheme="minorHAnsi" w:hAnsiTheme="minorHAnsi" w:cstheme="minorHAnsi"/>
                <w:b/>
                <w:iCs/>
                <w:color w:val="000000" w:themeColor="text1"/>
              </w:rPr>
              <w:t>Żywność wysokiej jakości;</w:t>
            </w:r>
          </w:p>
        </w:tc>
      </w:tr>
      <w:tr w:rsidR="00774594" w:rsidRPr="00CC6776" w14:paraId="4B68A007" w14:textId="77777777" w:rsidTr="0035578A">
        <w:trPr>
          <w:jc w:val="center"/>
        </w:trPr>
        <w:tc>
          <w:tcPr>
            <w:tcW w:w="4197" w:type="dxa"/>
          </w:tcPr>
          <w:p w14:paraId="7A36D9B0"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producenci i dystrybutorzy sprzętu oraz produktów medycznych</w:t>
            </w:r>
          </w:p>
          <w:p w14:paraId="254A2FD2"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dostawcy usług medycznych i około medycznych</w:t>
            </w:r>
          </w:p>
          <w:p w14:paraId="2A1960EF"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sektor ICT wyspecjalizowany w zakresie ochrony zdrowia</w:t>
            </w:r>
          </w:p>
          <w:p w14:paraId="2AA87BE7"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dostawcy produktów i usług środowiskowych</w:t>
            </w:r>
          </w:p>
          <w:p w14:paraId="1CA626E9"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producenci i dostawcy wiedzy w zakresie zdrowia życia</w:t>
            </w:r>
          </w:p>
        </w:tc>
        <w:tc>
          <w:tcPr>
            <w:tcW w:w="4865" w:type="dxa"/>
          </w:tcPr>
          <w:p w14:paraId="2D2F71E4"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chów i hodowla ryb oraz zwierząt</w:t>
            </w:r>
          </w:p>
          <w:p w14:paraId="103108FB"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produkcja żywności nieprzetworzonej</w:t>
            </w:r>
          </w:p>
          <w:p w14:paraId="44322DCB"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przetwarzanie i unieszkodliwienie odpadów porolniczych</w:t>
            </w:r>
          </w:p>
          <w:p w14:paraId="5413AFD1"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produkcja i usługi na rzecz hodowli zwierząt</w:t>
            </w:r>
          </w:p>
          <w:p w14:paraId="124CD46C"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przetwórstwo spożywcze</w:t>
            </w:r>
          </w:p>
          <w:p w14:paraId="287DF180" w14:textId="77777777" w:rsidR="00774594" w:rsidRPr="00CC6776" w:rsidRDefault="00774594" w:rsidP="00EF7C07">
            <w:pPr>
              <w:autoSpaceDE w:val="0"/>
              <w:autoSpaceDN w:val="0"/>
              <w:adjustRightInd w:val="0"/>
              <w:spacing w:after="0"/>
              <w:rPr>
                <w:rFonts w:asciiTheme="minorHAnsi" w:hAnsiTheme="minorHAnsi" w:cstheme="minorHAnsi"/>
                <w:iCs/>
                <w:color w:val="000000" w:themeColor="text1"/>
                <w:lang w:eastAsia="ja-JP"/>
              </w:rPr>
            </w:pPr>
            <w:r w:rsidRPr="00CC6776">
              <w:rPr>
                <w:rFonts w:asciiTheme="minorHAnsi" w:hAnsiTheme="minorHAnsi" w:cstheme="minorHAnsi"/>
                <w:iCs/>
                <w:color w:val="000000" w:themeColor="text1"/>
                <w:lang w:eastAsia="ja-JP"/>
              </w:rPr>
              <w:t>- produkcja maszyn dla rolnictwa</w:t>
            </w:r>
          </w:p>
          <w:p w14:paraId="02A6932C" w14:textId="77777777" w:rsidR="00774594" w:rsidRPr="00CC6776" w:rsidRDefault="00774594" w:rsidP="00EF7C07">
            <w:pPr>
              <w:spacing w:after="0"/>
              <w:jc w:val="both"/>
              <w:rPr>
                <w:rFonts w:asciiTheme="minorHAnsi" w:hAnsiTheme="minorHAnsi" w:cstheme="minorHAnsi"/>
                <w:iCs/>
                <w:color w:val="000000" w:themeColor="text1"/>
              </w:rPr>
            </w:pPr>
            <w:r w:rsidRPr="00CC6776">
              <w:rPr>
                <w:rFonts w:asciiTheme="minorHAnsi" w:hAnsiTheme="minorHAnsi" w:cstheme="minorHAnsi"/>
                <w:iCs/>
                <w:color w:val="000000" w:themeColor="text1"/>
                <w:lang w:eastAsia="ja-JP"/>
              </w:rPr>
              <w:t>- nauka i IOB</w:t>
            </w:r>
          </w:p>
        </w:tc>
      </w:tr>
    </w:tbl>
    <w:p w14:paraId="07D00A5C" w14:textId="77777777" w:rsidR="00774594" w:rsidRPr="00CC6776" w:rsidRDefault="00774594" w:rsidP="00774594">
      <w:pPr>
        <w:spacing w:after="120" w:line="23" w:lineRule="atLeast"/>
        <w:jc w:val="both"/>
        <w:rPr>
          <w:rFonts w:cstheme="minorHAnsi"/>
          <w:iCs/>
        </w:rPr>
      </w:pPr>
    </w:p>
    <w:p w14:paraId="532A1F6C" w14:textId="77777777" w:rsidR="00774594" w:rsidRPr="00CC6776" w:rsidRDefault="00774594" w:rsidP="00774594">
      <w:pPr>
        <w:spacing w:after="120" w:line="23" w:lineRule="atLeast"/>
        <w:jc w:val="both"/>
        <w:rPr>
          <w:rFonts w:cstheme="minorHAnsi"/>
          <w:iCs/>
        </w:rPr>
      </w:pPr>
      <w:r w:rsidRPr="00CC6776">
        <w:rPr>
          <w:rFonts w:cstheme="minorHAnsi"/>
          <w:iCs/>
        </w:rPr>
        <w:t>Poprzez inwestycje w ramach powyższych inteligentnych specjalizacji należy rozumieć takie, które muszą spełnić co najmniej dwa z poniższych warunków łącznie:</w:t>
      </w:r>
    </w:p>
    <w:p w14:paraId="12044E53" w14:textId="77777777" w:rsidR="00774594" w:rsidRPr="00CC6776" w:rsidRDefault="00774594" w:rsidP="00D968C9">
      <w:pPr>
        <w:pStyle w:val="Akapitzlist"/>
        <w:numPr>
          <w:ilvl w:val="0"/>
          <w:numId w:val="16"/>
        </w:numPr>
        <w:rPr>
          <w:rFonts w:cstheme="minorHAnsi"/>
          <w:iCs/>
          <w:color w:val="000000" w:themeColor="text1"/>
        </w:rPr>
      </w:pPr>
      <w:r w:rsidRPr="00CC6776">
        <w:rPr>
          <w:rFonts w:cstheme="minorHAnsi"/>
          <w:iCs/>
          <w:color w:val="000000" w:themeColor="text1"/>
        </w:rPr>
        <w:t>wpływ na eliminowanie negatywnego wpływu zagrożeń i/lub wpływ na wykorzystanie szans zdiagnozowanych w analizie SWOT  dla danej inteligentnej specjalizacji, tj w obszarze:</w:t>
      </w:r>
    </w:p>
    <w:p w14:paraId="4A3D82B2" w14:textId="77777777" w:rsidR="00774594" w:rsidRPr="00CC6776" w:rsidRDefault="00774594" w:rsidP="00D968C9">
      <w:pPr>
        <w:pStyle w:val="Akapitzlist"/>
        <w:numPr>
          <w:ilvl w:val="0"/>
          <w:numId w:val="18"/>
        </w:numPr>
        <w:rPr>
          <w:rFonts w:cstheme="minorHAnsi"/>
          <w:iCs/>
          <w:color w:val="000000" w:themeColor="text1"/>
        </w:rPr>
      </w:pPr>
      <w:r w:rsidRPr="00CC6776">
        <w:rPr>
          <w:rFonts w:cstheme="minorHAnsi"/>
          <w:iCs/>
          <w:color w:val="000000" w:themeColor="text1"/>
        </w:rPr>
        <w:t xml:space="preserve">drewno i meblarstwo  - link do analizy SWOT </w:t>
      </w:r>
      <w:bookmarkStart w:id="4" w:name="_Hlk168306428"/>
      <w:r w:rsidRPr="00CC6776">
        <w:rPr>
          <w:rFonts w:cstheme="minorHAnsi"/>
          <w:iCs/>
          <w:color w:val="000000" w:themeColor="text1"/>
        </w:rPr>
        <w:t>Badanie potencjału innowacyjnego i rozwojowego przedsiębiorstw funkcjonujących w obszarze inteligentnych specjalizacji województwa warmińsko-mazurskiego Drewno i meblarstwo – raport końcowy;  Rozdział 6  ANALIZA SWOT DLA INTELIGENTNEJ SPECJALIZACJI „DREWNO I MEBLARSTWO”</w:t>
      </w:r>
      <w:r w:rsidRPr="00CC6776">
        <w:rPr>
          <w:rFonts w:cstheme="minorHAnsi"/>
          <w:iCs/>
          <w:color w:val="000000" w:themeColor="text1"/>
          <w:u w:val="single"/>
        </w:rPr>
        <w:t xml:space="preserve"> </w:t>
      </w:r>
      <w:r w:rsidRPr="00CC6776">
        <w:rPr>
          <w:iCs/>
        </w:rPr>
        <w:t xml:space="preserve"> </w:t>
      </w:r>
      <w:r w:rsidRPr="00CC6776">
        <w:rPr>
          <w:rFonts w:cstheme="minorHAnsi"/>
          <w:iCs/>
          <w:color w:val="000000" w:themeColor="text1"/>
        </w:rPr>
        <w:lastRenderedPageBreak/>
        <w:t>https://biznes.warmia.mazury.pl/wp-content/uploads/2019/11/DREWNO_I_MEBLARSTWO_RAPORT_KO%C5%83COWY.pdf</w:t>
      </w:r>
    </w:p>
    <w:p w14:paraId="34CBB783" w14:textId="77777777" w:rsidR="00774594" w:rsidRPr="00CC6776" w:rsidRDefault="00774594" w:rsidP="00D968C9">
      <w:pPr>
        <w:pStyle w:val="Akapitzlist"/>
        <w:numPr>
          <w:ilvl w:val="0"/>
          <w:numId w:val="18"/>
        </w:numPr>
        <w:rPr>
          <w:rFonts w:cstheme="minorHAnsi"/>
          <w:iCs/>
          <w:color w:val="000000" w:themeColor="text1"/>
        </w:rPr>
      </w:pPr>
      <w:r w:rsidRPr="00CC6776">
        <w:rPr>
          <w:rFonts w:cstheme="minorHAnsi"/>
          <w:iCs/>
          <w:color w:val="000000" w:themeColor="text1"/>
        </w:rPr>
        <w:t>ekonomia wody -–</w:t>
      </w:r>
      <w:r w:rsidRPr="00CC6776">
        <w:rPr>
          <w:iCs/>
        </w:rPr>
        <w:t xml:space="preserve"> </w:t>
      </w:r>
      <w:r w:rsidRPr="00CC6776">
        <w:rPr>
          <w:rFonts w:cstheme="minorHAnsi"/>
          <w:iCs/>
          <w:color w:val="000000" w:themeColor="text1"/>
        </w:rPr>
        <w:t>Badanie potencjału innowacyjnego i rozwojowego przedsiębiorstw funkcjonujących w obszarze inteligentnych specjalizacji województwa warmińsko-mazurskiego Ekonomia wody – raport końcowy; Rozdział 6 ANALIZA SWOT DLA SPECJALIZACJI EKONOMIA WODY ___</w:t>
      </w:r>
      <w:r w:rsidRPr="00CC6776">
        <w:rPr>
          <w:iCs/>
        </w:rPr>
        <w:t>https://biznes.warmia.mazury.pl/wp-content/uploads/2019/11/EKONOMIA_WODY_RAPORT_KO%C5%83COWY.pdf</w:t>
      </w:r>
    </w:p>
    <w:p w14:paraId="064BF60F" w14:textId="77777777" w:rsidR="00774594" w:rsidRPr="00CC6776" w:rsidRDefault="00774594" w:rsidP="00D968C9">
      <w:pPr>
        <w:pStyle w:val="Akapitzlist"/>
        <w:numPr>
          <w:ilvl w:val="0"/>
          <w:numId w:val="18"/>
        </w:numPr>
        <w:rPr>
          <w:iCs/>
        </w:rPr>
      </w:pPr>
      <w:r w:rsidRPr="00CC6776">
        <w:rPr>
          <w:rFonts w:cstheme="minorHAnsi"/>
          <w:iCs/>
          <w:color w:val="000000" w:themeColor="text1"/>
        </w:rPr>
        <w:t>zdrowe życie https://bu.warmia.mazury.pl:7123/sharing/JltNKsBOM</w:t>
      </w:r>
    </w:p>
    <w:p w14:paraId="2B2B4C48" w14:textId="77777777" w:rsidR="00774594" w:rsidRPr="00CC6776" w:rsidRDefault="00774594" w:rsidP="00D968C9">
      <w:pPr>
        <w:pStyle w:val="Akapitzlist"/>
        <w:numPr>
          <w:ilvl w:val="0"/>
          <w:numId w:val="18"/>
        </w:numPr>
        <w:rPr>
          <w:rFonts w:cstheme="minorHAnsi"/>
          <w:iCs/>
          <w:color w:val="000000" w:themeColor="text1"/>
        </w:rPr>
      </w:pPr>
      <w:r w:rsidRPr="00CC6776">
        <w:rPr>
          <w:rFonts w:cstheme="minorHAnsi"/>
          <w:iCs/>
          <w:color w:val="000000" w:themeColor="text1"/>
        </w:rPr>
        <w:t>żywność  wysokiej jakości–</w:t>
      </w:r>
      <w:r w:rsidRPr="00CC6776">
        <w:rPr>
          <w:iCs/>
        </w:rPr>
        <w:t xml:space="preserve"> </w:t>
      </w:r>
      <w:r w:rsidRPr="00CC6776">
        <w:rPr>
          <w:rFonts w:cstheme="minorHAnsi"/>
          <w:iCs/>
          <w:color w:val="000000" w:themeColor="text1"/>
        </w:rPr>
        <w:t>Badanie potencjału innowacyjnego i rozwojowego przedsiębiorstw funkcjonujących w obszarze inteligentnych specjalizacji województwa warmińsko-mazurskiego Żywność wysokiej jakości – raport końcowy, Rozdział 6 ANALIZA SWOT DLA SPECJALIZACJI ŻYWNOŚĆ WYSOKIEJ JAKOŚCI _https://biznes.warmia.mazury.pl/wp-content/uploads/2019/11/%C5%BBYWNO%C5%9A%C4%86_WYSOKIEJ_JAKO%C5%9ACI_RAPORT_KO%C5%83COWY.pdf__</w:t>
      </w:r>
    </w:p>
    <w:bookmarkEnd w:id="4"/>
    <w:p w14:paraId="371A2DCA" w14:textId="77777777" w:rsidR="00774594" w:rsidRPr="00CC6776" w:rsidRDefault="00774594" w:rsidP="00D968C9">
      <w:pPr>
        <w:pStyle w:val="Akapitzlist"/>
        <w:numPr>
          <w:ilvl w:val="0"/>
          <w:numId w:val="16"/>
        </w:numPr>
        <w:rPr>
          <w:rFonts w:cstheme="minorHAnsi"/>
          <w:iCs/>
          <w:color w:val="000000" w:themeColor="text1"/>
        </w:rPr>
      </w:pPr>
      <w:r w:rsidRPr="00CC6776">
        <w:rPr>
          <w:rFonts w:cstheme="minorHAnsi"/>
          <w:iCs/>
          <w:color w:val="000000" w:themeColor="text1"/>
        </w:rPr>
        <w:t>wpływ na wzmocnienie silnych stron i/lub eliminację słabych stron zdiagnozowanych w analizie SWOT dla danej inteligentnej specjalizacji lub dyfuzję wyników projektu na więcej niż jeden podmiot działający w obszarze danej inteligentnej specjalizacji, tj: w obszarze</w:t>
      </w:r>
    </w:p>
    <w:p w14:paraId="025B6ABD" w14:textId="77777777" w:rsidR="00774594" w:rsidRPr="00CC6776" w:rsidRDefault="00774594" w:rsidP="00D968C9">
      <w:pPr>
        <w:pStyle w:val="Akapitzlist"/>
        <w:numPr>
          <w:ilvl w:val="0"/>
          <w:numId w:val="17"/>
        </w:numPr>
        <w:rPr>
          <w:rFonts w:cstheme="minorHAnsi"/>
          <w:iCs/>
          <w:color w:val="000000" w:themeColor="text1"/>
        </w:rPr>
      </w:pPr>
      <w:r w:rsidRPr="00CC6776">
        <w:rPr>
          <w:rFonts w:cstheme="minorHAnsi"/>
          <w:iCs/>
          <w:color w:val="000000" w:themeColor="text1"/>
        </w:rPr>
        <w:t>drewno i meblarstwo  - link do analizy SWOT –Badanie potencjału innowacyjnego i rozwojowego przedsiębiorstw funkcjonujących w obszarze inteligentnych specjalizacji województwa warmińsko-mazurskiego Drewno i meblarstwo – raport końcowy;  Rozdział 6  ANALIZA SWOT DLA INTELIGENTNEJ SPECJALIZACJI „DREWNO I MEBLARSTWO” _–https://biznes.warmia.mazury.pl/wp-content/uploads/2019/11/DREWNO_I_MEBLARSTWO_RAPORT_KO%C5%83COWY.pdf</w:t>
      </w:r>
    </w:p>
    <w:p w14:paraId="081A8BA9" w14:textId="77777777" w:rsidR="00774594" w:rsidRPr="00CC6776" w:rsidRDefault="00774594" w:rsidP="00D968C9">
      <w:pPr>
        <w:pStyle w:val="Akapitzlist"/>
        <w:numPr>
          <w:ilvl w:val="0"/>
          <w:numId w:val="17"/>
        </w:numPr>
        <w:rPr>
          <w:rFonts w:cstheme="minorHAnsi"/>
          <w:iCs/>
          <w:color w:val="000000" w:themeColor="text1"/>
        </w:rPr>
      </w:pPr>
      <w:r w:rsidRPr="00CC6776">
        <w:rPr>
          <w:rFonts w:cstheme="minorHAnsi"/>
          <w:iCs/>
          <w:color w:val="000000" w:themeColor="text1"/>
        </w:rPr>
        <w:t>ekonomia wody - link do analizy SWOT – Badanie potencjału innowacyjnego i rozwojowego przedsiębiorstw funkcjonujących w obszarze inteligentnych specjalizacji województwa warmińsko-mazurskiego Ekonomia wody – raport końcowy; Rozdział 6 ANALIZA SWOT DLA SPECJALIZACJI EKONOMIA WODY ___</w:t>
      </w:r>
      <w:r w:rsidRPr="00CC6776">
        <w:rPr>
          <w:iCs/>
        </w:rPr>
        <w:t xml:space="preserve"> https://biznes.warmia.mazury.pl/wp-content/uploads/2019/11/EKONOMIA_WODY_RAPORT_KO%C5%83COWY.pdf</w:t>
      </w:r>
    </w:p>
    <w:p w14:paraId="7D6C924F" w14:textId="77777777" w:rsidR="00774594" w:rsidRPr="00CC6776" w:rsidRDefault="00774594" w:rsidP="00D968C9">
      <w:pPr>
        <w:pStyle w:val="Akapitzlist"/>
        <w:numPr>
          <w:ilvl w:val="0"/>
          <w:numId w:val="17"/>
        </w:numPr>
        <w:rPr>
          <w:iCs/>
        </w:rPr>
      </w:pPr>
      <w:r w:rsidRPr="00CC6776">
        <w:rPr>
          <w:rFonts w:cstheme="minorHAnsi"/>
          <w:iCs/>
          <w:color w:val="000000" w:themeColor="text1"/>
        </w:rPr>
        <w:t>zdrowe życie https://bu.warmia.mazury.pl:7123/sharing/JltNKsBOM</w:t>
      </w:r>
    </w:p>
    <w:p w14:paraId="4935CF35" w14:textId="77777777" w:rsidR="00774594" w:rsidRPr="00CC6776" w:rsidRDefault="00774594" w:rsidP="00D968C9">
      <w:pPr>
        <w:pStyle w:val="Akapitzlist"/>
        <w:numPr>
          <w:ilvl w:val="0"/>
          <w:numId w:val="17"/>
        </w:numPr>
        <w:rPr>
          <w:rFonts w:cstheme="minorHAnsi"/>
          <w:iCs/>
          <w:color w:val="000000" w:themeColor="text1"/>
        </w:rPr>
      </w:pPr>
      <w:r w:rsidRPr="00CC6776">
        <w:rPr>
          <w:rFonts w:cstheme="minorHAnsi"/>
          <w:iCs/>
          <w:color w:val="000000" w:themeColor="text1"/>
        </w:rPr>
        <w:t>żywność wysokiej jakości -–</w:t>
      </w:r>
      <w:r w:rsidRPr="00CC6776">
        <w:rPr>
          <w:iCs/>
        </w:rPr>
        <w:t xml:space="preserve"> </w:t>
      </w:r>
      <w:r w:rsidRPr="00CC6776">
        <w:rPr>
          <w:rFonts w:cstheme="minorHAnsi"/>
          <w:iCs/>
          <w:color w:val="000000" w:themeColor="text1"/>
        </w:rPr>
        <w:t>Badanie potencjału innowacyjnego i rozwojowego przedsiębiorstw funkcjonujących w obszarze inteligentnych specjalizacji województwa warmińsko-mazurskiego Żywność wysokiej jakości – raport końcowy, Rozdział 6 ANALIZA SWOT DLA SPECJALIZACJI ŻYWNOŚĆ WYSOKIEJ JAKOŚCI ___https://biznes.warmia.mazury.pl/wp-content/uploads/2019/11/%C5%BBYWNO%C5%9A%C4%86_WYSOKIEJ_JAKO%C5%9ACI_RAPORT_KO%C5%83COWY.pdf</w:t>
      </w:r>
    </w:p>
    <w:p w14:paraId="305B122D" w14:textId="77777777" w:rsidR="00774594" w:rsidRPr="00CC6776" w:rsidRDefault="00774594" w:rsidP="00774594">
      <w:pPr>
        <w:pStyle w:val="Akapitzlist"/>
        <w:ind w:left="1364"/>
        <w:rPr>
          <w:rFonts w:cstheme="minorHAnsi"/>
          <w:iCs/>
          <w:color w:val="000000" w:themeColor="text1"/>
        </w:rPr>
      </w:pPr>
    </w:p>
    <w:p w14:paraId="30D50DBC" w14:textId="77777777" w:rsidR="00774594" w:rsidRPr="00CC6776" w:rsidRDefault="00774594" w:rsidP="00D968C9">
      <w:pPr>
        <w:pStyle w:val="Akapitzlist"/>
        <w:numPr>
          <w:ilvl w:val="0"/>
          <w:numId w:val="16"/>
        </w:numPr>
        <w:spacing w:after="0"/>
        <w:rPr>
          <w:rFonts w:cstheme="minorHAnsi"/>
          <w:iCs/>
          <w:color w:val="000000" w:themeColor="text1"/>
        </w:rPr>
      </w:pPr>
      <w:bookmarkStart w:id="5" w:name="_Hlk168313336"/>
      <w:r w:rsidRPr="00CC6776">
        <w:rPr>
          <w:rFonts w:cstheme="minorHAnsi"/>
          <w:iCs/>
          <w:color w:val="000000" w:themeColor="text1"/>
        </w:rPr>
        <w:t>stworzenie w wyniku inwestycji możliwości eksportowych w ramach danej specjalizacji i/lub generowanie potencjalnego wzrostu współpracy w europejskich łańcuchach wartości</w:t>
      </w:r>
      <w:bookmarkEnd w:id="5"/>
      <w:r w:rsidRPr="00CC6776">
        <w:rPr>
          <w:rFonts w:cstheme="minorHAnsi"/>
          <w:iCs/>
          <w:color w:val="000000" w:themeColor="text1"/>
        </w:rPr>
        <w:t>,</w:t>
      </w:r>
    </w:p>
    <w:p w14:paraId="363ADF2F" w14:textId="77777777" w:rsidR="00774594" w:rsidRDefault="00774594" w:rsidP="00D968C9">
      <w:pPr>
        <w:pStyle w:val="Akapitzlist"/>
        <w:numPr>
          <w:ilvl w:val="0"/>
          <w:numId w:val="16"/>
        </w:numPr>
        <w:spacing w:after="0"/>
        <w:rPr>
          <w:rFonts w:cstheme="minorHAnsi"/>
          <w:iCs/>
          <w:color w:val="000000" w:themeColor="text1"/>
        </w:rPr>
      </w:pPr>
      <w:r w:rsidRPr="00CC6776">
        <w:rPr>
          <w:rFonts w:cstheme="minorHAnsi"/>
          <w:iCs/>
          <w:color w:val="000000" w:themeColor="text1"/>
        </w:rPr>
        <w:t xml:space="preserve">wpływ na kreowanie współpracy pomiędzy środowiskiem naukowym, biznesowym, otoczeniem biznesu, administracją w obrębie co najmniej jednej specjalizacji w wyniku realizacji projektu.  </w:t>
      </w:r>
    </w:p>
    <w:p w14:paraId="0B90DC27" w14:textId="77777777" w:rsidR="00774594" w:rsidRPr="00325FC9" w:rsidRDefault="00774594" w:rsidP="00774594">
      <w:pPr>
        <w:spacing w:after="0"/>
        <w:rPr>
          <w:i/>
        </w:rPr>
      </w:pPr>
    </w:p>
    <w:p w14:paraId="4F5A81FC" w14:textId="77777777" w:rsidR="00774594" w:rsidRPr="00325FC9" w:rsidRDefault="00774594" w:rsidP="00774594">
      <w:pPr>
        <w:spacing w:after="0"/>
        <w:rPr>
          <w:rFonts w:cstheme="minorHAnsi"/>
          <w:i/>
          <w:color w:val="000000" w:themeColor="text1"/>
        </w:rPr>
      </w:pPr>
      <w:r w:rsidRPr="00325FC9">
        <w:rPr>
          <w:i/>
        </w:rPr>
        <w:t xml:space="preserve">Spełnienie warunku następuje w oparciu o dokumentację pożyczkową.  </w:t>
      </w:r>
    </w:p>
    <w:p w14:paraId="5E3974C4" w14:textId="77777777" w:rsidR="00774594" w:rsidRDefault="00774594" w:rsidP="00774594">
      <w:pPr>
        <w:rPr>
          <w:rFonts w:cstheme="minorHAnsi"/>
          <w:iCs/>
        </w:rPr>
      </w:pPr>
    </w:p>
    <w:p w14:paraId="587FB351" w14:textId="77777777" w:rsidR="00C877D6" w:rsidRPr="00CC6776" w:rsidRDefault="00C877D6" w:rsidP="00774594">
      <w:pPr>
        <w:rPr>
          <w:rFonts w:cstheme="minorHAnsi"/>
          <w:iCs/>
        </w:rPr>
      </w:pPr>
    </w:p>
    <w:p w14:paraId="5D416356" w14:textId="4A0A39CB" w:rsidR="00774594" w:rsidRPr="00CC6776" w:rsidRDefault="00774594" w:rsidP="00D968C9">
      <w:pPr>
        <w:pStyle w:val="Akapitzlist"/>
        <w:numPr>
          <w:ilvl w:val="0"/>
          <w:numId w:val="13"/>
        </w:numPr>
        <w:rPr>
          <w:rFonts w:cstheme="minorHAnsi"/>
          <w:b/>
          <w:bCs/>
          <w:iCs/>
        </w:rPr>
      </w:pPr>
      <w:r w:rsidRPr="00CC6776">
        <w:rPr>
          <w:rFonts w:cstheme="minorHAnsi"/>
          <w:b/>
          <w:bCs/>
          <w:iCs/>
        </w:rPr>
        <w:lastRenderedPageBreak/>
        <w:t xml:space="preserve">Warunek </w:t>
      </w:r>
      <w:r w:rsidR="00480D18">
        <w:rPr>
          <w:rFonts w:cstheme="minorHAnsi"/>
          <w:b/>
          <w:bCs/>
          <w:iCs/>
        </w:rPr>
        <w:t xml:space="preserve"> 2 c</w:t>
      </w:r>
    </w:p>
    <w:p w14:paraId="308CB5CE" w14:textId="59D9E896" w:rsidR="00774594" w:rsidRPr="00CC6776" w:rsidRDefault="00DE42A0" w:rsidP="00774594">
      <w:pPr>
        <w:rPr>
          <w:rFonts w:cstheme="minorHAnsi"/>
          <w:b/>
          <w:iCs/>
        </w:rPr>
      </w:pPr>
      <w:r>
        <w:rPr>
          <w:rFonts w:cstheme="minorHAnsi"/>
          <w:b/>
          <w:iCs/>
        </w:rPr>
        <w:t>Pożyczkobiorca</w:t>
      </w:r>
      <w:r w:rsidR="00774594" w:rsidRPr="00CC6776">
        <w:rPr>
          <w:rFonts w:cstheme="minorHAnsi"/>
          <w:b/>
          <w:iCs/>
        </w:rPr>
        <w:t xml:space="preserve"> jest mikro i małą firmą w początkowej fazie rozwoju.</w:t>
      </w:r>
    </w:p>
    <w:p w14:paraId="21277854" w14:textId="77777777" w:rsidR="00774594" w:rsidRPr="00CC6776" w:rsidRDefault="00774594" w:rsidP="00774594">
      <w:pPr>
        <w:rPr>
          <w:rFonts w:cstheme="minorHAnsi"/>
          <w:iCs/>
        </w:rPr>
      </w:pPr>
      <w:r w:rsidRPr="00CC6776">
        <w:rPr>
          <w:rFonts w:cstheme="minorHAnsi"/>
          <w:iCs/>
        </w:rPr>
        <w:t>Czas trwania firmy, w zależności od formy prawnej jest liczony:</w:t>
      </w:r>
    </w:p>
    <w:p w14:paraId="023FF5DA" w14:textId="77777777" w:rsidR="00774594" w:rsidRPr="00CC6776" w:rsidRDefault="00774594" w:rsidP="00774594">
      <w:pPr>
        <w:pStyle w:val="Akapitzlist"/>
        <w:ind w:left="0"/>
        <w:rPr>
          <w:rFonts w:cstheme="minorHAnsi"/>
          <w:iCs/>
        </w:rPr>
      </w:pPr>
      <w:r w:rsidRPr="00CC6776">
        <w:rPr>
          <w:rFonts w:cstheme="minorHAnsi"/>
          <w:iCs/>
        </w:rPr>
        <w:t>1) dla osób fizycznych – od daty rozpoczęcia wykonywania działalności określonej w Centralnej Ewidencji i Informacji o Działalności Gospodarczej CEIDG,</w:t>
      </w:r>
    </w:p>
    <w:p w14:paraId="6AC75CAC" w14:textId="77777777" w:rsidR="00774594" w:rsidRPr="00CC6776" w:rsidRDefault="00774594" w:rsidP="00774594">
      <w:pPr>
        <w:pStyle w:val="Akapitzlist"/>
        <w:ind w:left="0"/>
        <w:rPr>
          <w:rFonts w:cstheme="minorHAnsi"/>
          <w:iCs/>
        </w:rPr>
      </w:pPr>
      <w:r w:rsidRPr="00CC6776">
        <w:rPr>
          <w:rFonts w:cstheme="minorHAnsi"/>
          <w:iCs/>
        </w:rPr>
        <w:t>2) dla spółek cywilnych – od daty zawarcia umowy spółki,</w:t>
      </w:r>
    </w:p>
    <w:p w14:paraId="7D3B2054" w14:textId="77777777" w:rsidR="00774594" w:rsidRPr="00CC6776" w:rsidRDefault="00774594" w:rsidP="00774594">
      <w:pPr>
        <w:pStyle w:val="Akapitzlist"/>
        <w:ind w:left="0"/>
        <w:rPr>
          <w:rFonts w:cstheme="minorHAnsi"/>
          <w:iCs/>
        </w:rPr>
      </w:pPr>
      <w:r w:rsidRPr="00CC6776">
        <w:rPr>
          <w:rFonts w:cstheme="minorHAnsi"/>
          <w:iCs/>
        </w:rPr>
        <w:t>3) dla spółek kapitałowych – od daty zawarcia umowy spółki,</w:t>
      </w:r>
    </w:p>
    <w:p w14:paraId="6054325F" w14:textId="77777777" w:rsidR="00774594" w:rsidRPr="00CC6776" w:rsidRDefault="00774594" w:rsidP="00774594">
      <w:pPr>
        <w:pStyle w:val="Akapitzlist"/>
        <w:ind w:left="0"/>
        <w:rPr>
          <w:rFonts w:cstheme="minorHAnsi"/>
          <w:iCs/>
        </w:rPr>
      </w:pPr>
      <w:r w:rsidRPr="00CC6776">
        <w:rPr>
          <w:rFonts w:cstheme="minorHAnsi"/>
          <w:iCs/>
        </w:rPr>
        <w:t>4) dla pozostałych spółek handlowych – od daty rejestracji w Krajowym Rejestrze Sądowym KRS,</w:t>
      </w:r>
    </w:p>
    <w:p w14:paraId="191D4A18" w14:textId="77777777" w:rsidR="00774594" w:rsidRPr="00CC6776" w:rsidRDefault="00774594" w:rsidP="00774594">
      <w:pPr>
        <w:pStyle w:val="Akapitzlist"/>
        <w:ind w:left="0"/>
        <w:rPr>
          <w:rFonts w:cstheme="minorHAnsi"/>
          <w:iCs/>
        </w:rPr>
      </w:pPr>
      <w:r w:rsidRPr="00CC6776">
        <w:rPr>
          <w:rFonts w:cstheme="minorHAnsi"/>
          <w:iCs/>
        </w:rPr>
        <w:t>5) dla oddziałów przedsiębiorstw zagranicznych – od daty rejestracji w Krajowym Rejestrze Sądowym KRS,</w:t>
      </w:r>
    </w:p>
    <w:p w14:paraId="13B03D8F" w14:textId="77777777" w:rsidR="00774594" w:rsidRPr="00CC6776" w:rsidRDefault="00774594" w:rsidP="00774594">
      <w:pPr>
        <w:pStyle w:val="Akapitzlist"/>
        <w:ind w:left="0"/>
        <w:rPr>
          <w:rFonts w:cstheme="minorHAnsi"/>
          <w:iCs/>
        </w:rPr>
      </w:pPr>
      <w:r w:rsidRPr="00CC6776">
        <w:rPr>
          <w:rFonts w:cstheme="minorHAnsi"/>
          <w:iCs/>
        </w:rPr>
        <w:t>6) dla przedsiębiorstw zagranicznych – od daty zawarcia umowy spółki lub daty rejestracji w odpowiednim rejestrze, w zależności od konstrukcji prawnej przedsiębiorstwa zagranicznego.</w:t>
      </w:r>
    </w:p>
    <w:p w14:paraId="6B364B52" w14:textId="77777777" w:rsidR="00774594" w:rsidRDefault="00774594" w:rsidP="00774594">
      <w:pPr>
        <w:rPr>
          <w:rFonts w:cstheme="minorHAnsi"/>
          <w:iCs/>
        </w:rPr>
      </w:pPr>
      <w:r w:rsidRPr="00CC6776">
        <w:rPr>
          <w:rFonts w:cstheme="minorHAnsi"/>
          <w:iCs/>
        </w:rPr>
        <w:t>Przekształcenie lub zmiana formy prawnej traktowana jest jako kontynuacja dotychczas prowadzonej działalności, a nie rozpoczęcie prowadzenia nowej działalności gospodarczej. Zawieszenie prowadzenia działalności gospodarczej wlicza się do okresu prowadzenia działalności.</w:t>
      </w:r>
    </w:p>
    <w:p w14:paraId="6C076C4B" w14:textId="77777777" w:rsidR="00774594" w:rsidRPr="00325FC9" w:rsidRDefault="00774594" w:rsidP="00774594">
      <w:pPr>
        <w:jc w:val="both"/>
        <w:rPr>
          <w:i/>
        </w:rPr>
      </w:pPr>
      <w:r w:rsidRPr="00325FC9">
        <w:rPr>
          <w:i/>
        </w:rPr>
        <w:t xml:space="preserve">Spełnienie warunku następuje w oparciu o dokumentację pożyczkową.  </w:t>
      </w:r>
    </w:p>
    <w:p w14:paraId="67F2CFDF" w14:textId="77777777" w:rsidR="00774594" w:rsidRPr="00CC6776" w:rsidRDefault="00774594" w:rsidP="00774594">
      <w:pPr>
        <w:pStyle w:val="Akapitzlist"/>
        <w:ind w:left="1080"/>
        <w:rPr>
          <w:rFonts w:cstheme="minorHAnsi"/>
          <w:iCs/>
        </w:rPr>
      </w:pPr>
    </w:p>
    <w:p w14:paraId="691D9080" w14:textId="4D435E5D" w:rsidR="00774594" w:rsidRPr="00CC6776" w:rsidRDefault="00774594" w:rsidP="00D968C9">
      <w:pPr>
        <w:pStyle w:val="Akapitzlist"/>
        <w:numPr>
          <w:ilvl w:val="0"/>
          <w:numId w:val="13"/>
        </w:numPr>
        <w:rPr>
          <w:rFonts w:cstheme="minorHAnsi"/>
          <w:b/>
          <w:bCs/>
          <w:iCs/>
        </w:rPr>
      </w:pPr>
      <w:r w:rsidRPr="00CC6776">
        <w:rPr>
          <w:rFonts w:cstheme="minorHAnsi"/>
          <w:b/>
          <w:bCs/>
          <w:iCs/>
        </w:rPr>
        <w:t xml:space="preserve">Warunek nr </w:t>
      </w:r>
      <w:r w:rsidR="00480D18">
        <w:rPr>
          <w:rFonts w:cstheme="minorHAnsi"/>
          <w:b/>
          <w:bCs/>
          <w:iCs/>
        </w:rPr>
        <w:t>2 d</w:t>
      </w:r>
    </w:p>
    <w:p w14:paraId="2E3D6D52" w14:textId="77777777" w:rsidR="00774594" w:rsidRPr="00CC6776" w:rsidRDefault="00774594" w:rsidP="00774594">
      <w:pPr>
        <w:rPr>
          <w:rFonts w:cstheme="minorHAnsi"/>
          <w:b/>
          <w:iCs/>
        </w:rPr>
      </w:pPr>
      <w:r w:rsidRPr="00CC6776">
        <w:rPr>
          <w:rFonts w:cstheme="minorHAnsi"/>
          <w:b/>
          <w:iCs/>
        </w:rPr>
        <w:t>Powstanie nowego (na poziomie firmy) produktu/ usługi.</w:t>
      </w:r>
    </w:p>
    <w:p w14:paraId="0597AF12" w14:textId="77777777" w:rsidR="00774594" w:rsidRPr="00CC6776" w:rsidRDefault="00774594" w:rsidP="00774594">
      <w:pPr>
        <w:jc w:val="both"/>
        <w:rPr>
          <w:iCs/>
        </w:rPr>
      </w:pPr>
      <w:r w:rsidRPr="00CC6776">
        <w:rPr>
          <w:iCs/>
        </w:rPr>
        <w:t>Warunek może być zrealizowany na dwa sposoby:</w:t>
      </w:r>
    </w:p>
    <w:p w14:paraId="2723F592" w14:textId="77777777" w:rsidR="00774594" w:rsidRPr="00CC6776" w:rsidRDefault="00774594" w:rsidP="00D968C9">
      <w:pPr>
        <w:pStyle w:val="Akapitzlist"/>
        <w:numPr>
          <w:ilvl w:val="0"/>
          <w:numId w:val="14"/>
        </w:numPr>
        <w:spacing w:after="0" w:line="240" w:lineRule="auto"/>
        <w:jc w:val="both"/>
        <w:rPr>
          <w:iCs/>
        </w:rPr>
      </w:pPr>
      <w:r w:rsidRPr="00CC6776">
        <w:rPr>
          <w:iCs/>
        </w:rPr>
        <w:t xml:space="preserve">Sposób 1: </w:t>
      </w:r>
      <w:bookmarkStart w:id="6" w:name="_Hlk167195356"/>
      <w:r w:rsidRPr="00CC6776">
        <w:rPr>
          <w:iCs/>
        </w:rPr>
        <w:t xml:space="preserve">zastosowane w przedsiębiorstwa rozwiązania cyfrowe przyczynią </w:t>
      </w:r>
      <w:bookmarkEnd w:id="6"/>
      <w:r w:rsidRPr="00CC6776">
        <w:rPr>
          <w:iCs/>
        </w:rPr>
        <w:t xml:space="preserve">się do ulepszeń lub wytworzenia dodatków do (upgradu) istniejących produktów/usług (np. w przypadku usług – dodatkowa możliwość korespondencji w sprawie obsługi klienta poprzez kanał on-line – stosowne formularze, chatboty, itp.) lub </w:t>
      </w:r>
    </w:p>
    <w:p w14:paraId="2990A613" w14:textId="77777777" w:rsidR="00774594" w:rsidRPr="00CC6776" w:rsidRDefault="00774594" w:rsidP="00D968C9">
      <w:pPr>
        <w:pStyle w:val="Akapitzlist"/>
        <w:numPr>
          <w:ilvl w:val="0"/>
          <w:numId w:val="14"/>
        </w:numPr>
        <w:spacing w:after="0" w:line="240" w:lineRule="auto"/>
        <w:jc w:val="both"/>
        <w:rPr>
          <w:iCs/>
        </w:rPr>
      </w:pPr>
      <w:r w:rsidRPr="00CC6776">
        <w:rPr>
          <w:iCs/>
        </w:rPr>
        <w:t>Sposób 2: zastosowane w przedsiębiorstwa rozwiązania cyfrowe przyczynią do zaprojektowania i wdrożenia nowych produktów, czy usług (np. w przypadku wytwarzania produktów, zmiany linii produkcyjnej mogą prowadzić do możliwości wytwarzania w jednym miejscu kilku produktów, serii – dając możliwość produkcji spersonalizowanej).</w:t>
      </w:r>
    </w:p>
    <w:p w14:paraId="360F1739" w14:textId="77777777" w:rsidR="00C877D6" w:rsidRPr="00C877D6" w:rsidRDefault="00C877D6" w:rsidP="00774594">
      <w:pPr>
        <w:jc w:val="both"/>
        <w:rPr>
          <w:i/>
          <w:sz w:val="8"/>
        </w:rPr>
      </w:pPr>
    </w:p>
    <w:p w14:paraId="0B01CF5B" w14:textId="77777777" w:rsidR="00774594" w:rsidRPr="00325FC9" w:rsidRDefault="00774594" w:rsidP="00774594">
      <w:pPr>
        <w:jc w:val="both"/>
        <w:rPr>
          <w:i/>
        </w:rPr>
      </w:pPr>
      <w:r w:rsidRPr="00325FC9">
        <w:rPr>
          <w:i/>
        </w:rPr>
        <w:t>Spełnienie warunku następuje w oparciu o dokumentację pożyczkową.</w:t>
      </w:r>
    </w:p>
    <w:p w14:paraId="2DFADDB8" w14:textId="77777777" w:rsidR="00C877D6" w:rsidRDefault="00C877D6" w:rsidP="00C877D6">
      <w:pPr>
        <w:spacing w:before="40" w:after="120"/>
        <w:ind w:left="65"/>
        <w:jc w:val="both"/>
      </w:pPr>
    </w:p>
    <w:p w14:paraId="0C1899AA" w14:textId="77777777" w:rsidR="00C877D6" w:rsidRDefault="00C877D6" w:rsidP="00C877D6">
      <w:pPr>
        <w:spacing w:before="40" w:after="120"/>
        <w:ind w:left="65"/>
        <w:jc w:val="both"/>
      </w:pPr>
    </w:p>
    <w:p w14:paraId="3263E588" w14:textId="77777777" w:rsidR="00C877D6" w:rsidRDefault="00C877D6" w:rsidP="00C877D6">
      <w:pPr>
        <w:spacing w:before="40" w:after="120"/>
        <w:ind w:left="65"/>
        <w:jc w:val="both"/>
        <w:rPr>
          <w:rFonts w:asciiTheme="minorHAnsi" w:eastAsiaTheme="minorHAnsi" w:hAnsiTheme="minorHAnsi"/>
          <w:sz w:val="16"/>
          <w:szCs w:val="16"/>
        </w:rPr>
      </w:pPr>
      <w:r>
        <w:t>……………………………….</w:t>
      </w:r>
      <w:r>
        <w:br/>
      </w:r>
      <w:r w:rsidRPr="004E6364">
        <w:rPr>
          <w:rFonts w:asciiTheme="minorHAnsi" w:eastAsiaTheme="minorHAnsi" w:hAnsiTheme="minorHAnsi"/>
          <w:sz w:val="16"/>
          <w:szCs w:val="16"/>
        </w:rPr>
        <w:t>Podpis</w:t>
      </w:r>
      <w:r>
        <w:rPr>
          <w:rFonts w:asciiTheme="minorHAnsi" w:eastAsiaTheme="minorHAnsi" w:hAnsiTheme="minorHAnsi"/>
          <w:sz w:val="16"/>
          <w:szCs w:val="16"/>
        </w:rPr>
        <w:t xml:space="preserve"> pożyczkodawcy</w:t>
      </w:r>
    </w:p>
    <w:p w14:paraId="3D6951F2" w14:textId="77777777" w:rsidR="00C877D6" w:rsidRDefault="00C877D6" w:rsidP="00C877D6">
      <w:pPr>
        <w:spacing w:before="40" w:after="120"/>
        <w:ind w:left="65"/>
        <w:jc w:val="both"/>
      </w:pPr>
      <w:r>
        <w:rPr>
          <w:rFonts w:asciiTheme="minorHAnsi" w:eastAsiaTheme="minorHAnsi" w:hAnsiTheme="minorHAnsi"/>
          <w:sz w:val="16"/>
          <w:szCs w:val="16"/>
        </w:rPr>
        <w:br/>
      </w:r>
      <w:r>
        <w:t>Oświadczam, iż zapoznałem się z treścią niniejszego dokumentu.</w:t>
      </w:r>
    </w:p>
    <w:p w14:paraId="61DC9112" w14:textId="5125B7D8" w:rsidR="00774594" w:rsidRPr="00B026D2" w:rsidRDefault="00C877D6" w:rsidP="00C877D6">
      <w:pPr>
        <w:pStyle w:val="Akapitzlist"/>
        <w:ind w:left="142" w:hanging="142"/>
        <w:rPr>
          <w:rFonts w:asciiTheme="minorHAnsi" w:hAnsiTheme="minorHAnsi"/>
          <w:highlight w:val="yellow"/>
        </w:rPr>
      </w:pPr>
      <w:r>
        <w:br/>
      </w:r>
      <w:r>
        <w:br/>
      </w:r>
      <w:r>
        <w:br/>
      </w:r>
      <w:r>
        <w:br/>
        <w:t>…………………………………..</w:t>
      </w:r>
      <w:r>
        <w:br/>
      </w:r>
      <w:r w:rsidRPr="004E6364">
        <w:rPr>
          <w:rFonts w:asciiTheme="minorHAnsi" w:eastAsiaTheme="minorHAnsi" w:hAnsiTheme="minorHAnsi"/>
          <w:sz w:val="16"/>
          <w:szCs w:val="16"/>
        </w:rPr>
        <w:t xml:space="preserve">Podpis </w:t>
      </w:r>
      <w:r>
        <w:rPr>
          <w:rFonts w:asciiTheme="minorHAnsi" w:eastAsiaTheme="minorHAnsi" w:hAnsiTheme="minorHAnsi"/>
          <w:sz w:val="16"/>
          <w:szCs w:val="16"/>
        </w:rPr>
        <w:t>pożyczkobiorcy</w:t>
      </w:r>
    </w:p>
    <w:sectPr w:rsidR="00774594" w:rsidRPr="00B026D2" w:rsidSect="004F2FFA">
      <w:headerReference w:type="default" r:id="rId13"/>
      <w:footerReference w:type="default" r:id="rId14"/>
      <w:headerReference w:type="first" r:id="rId15"/>
      <w:footerReference w:type="first" r:id="rId16"/>
      <w:pgSz w:w="11906" w:h="16838"/>
      <w:pgMar w:top="720" w:right="991" w:bottom="720"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8A532" w14:textId="77777777" w:rsidR="00BE2717" w:rsidRDefault="00BE2717" w:rsidP="00BA3860">
      <w:pPr>
        <w:spacing w:after="0" w:line="240" w:lineRule="auto"/>
      </w:pPr>
      <w:r>
        <w:separator/>
      </w:r>
    </w:p>
  </w:endnote>
  <w:endnote w:type="continuationSeparator" w:id="0">
    <w:p w14:paraId="77201881" w14:textId="77777777" w:rsidR="00BE2717" w:rsidRDefault="00BE2717" w:rsidP="00BA3860">
      <w:pPr>
        <w:spacing w:after="0" w:line="240" w:lineRule="auto"/>
      </w:pPr>
      <w:r>
        <w:continuationSeparator/>
      </w:r>
    </w:p>
  </w:endnote>
  <w:endnote w:type="continuationNotice" w:id="1">
    <w:p w14:paraId="65A767B7" w14:textId="77777777" w:rsidR="00BE2717" w:rsidRDefault="00BE27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D24B" w14:textId="77777777" w:rsidR="00697136" w:rsidRDefault="00697136" w:rsidP="004501FA">
    <w:pPr>
      <w:pStyle w:val="Stopka"/>
      <w:tabs>
        <w:tab w:val="clear" w:pos="4536"/>
        <w:tab w:val="clear" w:pos="9072"/>
        <w:tab w:val="left" w:pos="7230"/>
      </w:tabs>
      <w:rPr>
        <w:noProof/>
        <w:sz w:val="20"/>
        <w:szCs w:val="20"/>
        <w:lang w:eastAsia="pl-PL"/>
      </w:rPr>
    </w:pPr>
  </w:p>
  <w:p w14:paraId="349139F1" w14:textId="22C30AAE" w:rsidR="00F0614D" w:rsidRDefault="00F0614D" w:rsidP="00514F09">
    <w:pPr>
      <w:pStyle w:val="Stopka"/>
      <w:tabs>
        <w:tab w:val="clear" w:pos="4536"/>
        <w:tab w:val="clear" w:pos="9072"/>
        <w:tab w:val="left" w:pos="7230"/>
      </w:tabs>
      <w:jc w:val="center"/>
      <w:rPr>
        <w:sz w:val="24"/>
      </w:rPr>
    </w:pPr>
  </w:p>
  <w:p w14:paraId="0FFC7FFF" w14:textId="20DC0AA6" w:rsidR="00697136" w:rsidRPr="00EF7C07" w:rsidRDefault="00697136" w:rsidP="00EF7C07">
    <w:pPr>
      <w:pStyle w:val="Stopka"/>
      <w:tabs>
        <w:tab w:val="clear" w:pos="4536"/>
        <w:tab w:val="clear" w:pos="9072"/>
        <w:tab w:val="left" w:pos="7230"/>
      </w:tabs>
      <w:jc w:val="center"/>
      <w:rPr>
        <w:sz w:val="20"/>
        <w:szCs w:val="20"/>
      </w:rPr>
    </w:pPr>
    <w:r w:rsidRPr="00EF7C07">
      <w:rPr>
        <w:sz w:val="20"/>
        <w:szCs w:val="20"/>
      </w:rPr>
      <w:t xml:space="preserve">Strona </w:t>
    </w:r>
    <w:r w:rsidRPr="00EF7C07">
      <w:rPr>
        <w:b/>
        <w:bCs/>
        <w:sz w:val="20"/>
        <w:szCs w:val="20"/>
        <w:lang w:val="en-GB"/>
      </w:rPr>
      <w:fldChar w:fldCharType="begin"/>
    </w:r>
    <w:r w:rsidRPr="00EF7C07">
      <w:rPr>
        <w:b/>
        <w:bCs/>
        <w:sz w:val="20"/>
        <w:szCs w:val="20"/>
        <w:lang w:val="en-GB"/>
      </w:rPr>
      <w:instrText>PAGE</w:instrText>
    </w:r>
    <w:r w:rsidRPr="00EF7C07">
      <w:rPr>
        <w:b/>
        <w:bCs/>
        <w:sz w:val="20"/>
        <w:szCs w:val="20"/>
        <w:lang w:val="en-GB"/>
      </w:rPr>
      <w:fldChar w:fldCharType="separate"/>
    </w:r>
    <w:r w:rsidR="007A6D3D">
      <w:rPr>
        <w:b/>
        <w:bCs/>
        <w:noProof/>
        <w:sz w:val="20"/>
        <w:szCs w:val="20"/>
        <w:lang w:val="en-GB"/>
      </w:rPr>
      <w:t>12</w:t>
    </w:r>
    <w:r w:rsidRPr="00EF7C07">
      <w:rPr>
        <w:b/>
        <w:bCs/>
        <w:sz w:val="20"/>
        <w:szCs w:val="20"/>
        <w:lang w:val="en-GB"/>
      </w:rPr>
      <w:fldChar w:fldCharType="end"/>
    </w:r>
    <w:r w:rsidRPr="00EF7C07">
      <w:rPr>
        <w:sz w:val="20"/>
        <w:szCs w:val="20"/>
      </w:rPr>
      <w:t xml:space="preserve"> z </w:t>
    </w:r>
    <w:r w:rsidRPr="00EF7C07">
      <w:rPr>
        <w:b/>
        <w:bCs/>
        <w:sz w:val="20"/>
        <w:szCs w:val="20"/>
        <w:lang w:val="en-GB"/>
      </w:rPr>
      <w:fldChar w:fldCharType="begin"/>
    </w:r>
    <w:r w:rsidRPr="00EF7C07">
      <w:rPr>
        <w:b/>
        <w:bCs/>
        <w:sz w:val="20"/>
        <w:szCs w:val="20"/>
        <w:lang w:val="en-GB"/>
      </w:rPr>
      <w:instrText>NUMPAGES</w:instrText>
    </w:r>
    <w:r w:rsidRPr="00EF7C07">
      <w:rPr>
        <w:b/>
        <w:bCs/>
        <w:sz w:val="20"/>
        <w:szCs w:val="20"/>
        <w:lang w:val="en-GB"/>
      </w:rPr>
      <w:fldChar w:fldCharType="separate"/>
    </w:r>
    <w:r w:rsidR="007A6D3D">
      <w:rPr>
        <w:b/>
        <w:bCs/>
        <w:noProof/>
        <w:sz w:val="20"/>
        <w:szCs w:val="20"/>
        <w:lang w:val="en-GB"/>
      </w:rPr>
      <w:t>12</w:t>
    </w:r>
    <w:r w:rsidRPr="00EF7C07">
      <w:rPr>
        <w:b/>
        <w:bCs/>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4A05" w14:textId="61ED5160" w:rsidR="00F0614D" w:rsidRDefault="00514F09" w:rsidP="00514F09">
    <w:pPr>
      <w:pStyle w:val="Stopka"/>
      <w:tabs>
        <w:tab w:val="clear" w:pos="4536"/>
        <w:tab w:val="clear" w:pos="9072"/>
        <w:tab w:val="left" w:pos="7230"/>
      </w:tabs>
      <w:jc w:val="center"/>
      <w:rPr>
        <w:sz w:val="24"/>
      </w:rPr>
    </w:pPr>
    <w:r>
      <w:rPr>
        <w:noProof/>
        <w:lang w:eastAsia="pl-PL"/>
      </w:rPr>
      <w:drawing>
        <wp:inline distT="0" distB="0" distL="0" distR="0" wp14:anchorId="594F8F74" wp14:editId="5C3F4A1A">
          <wp:extent cx="4762500" cy="752475"/>
          <wp:effectExtent l="0" t="0" r="0" b="9525"/>
          <wp:docPr id="1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752475"/>
                  </a:xfrm>
                  <a:prstGeom prst="rect">
                    <a:avLst/>
                  </a:prstGeom>
                  <a:noFill/>
                  <a:ln>
                    <a:noFill/>
                  </a:ln>
                </pic:spPr>
              </pic:pic>
            </a:graphicData>
          </a:graphic>
        </wp:inline>
      </w:drawing>
    </w:r>
  </w:p>
  <w:p w14:paraId="405938F7" w14:textId="1C86E191" w:rsidR="00697136" w:rsidRPr="00EF7C07" w:rsidRDefault="00697136" w:rsidP="00EF7C07">
    <w:pPr>
      <w:pStyle w:val="Stopka"/>
      <w:tabs>
        <w:tab w:val="clear" w:pos="4536"/>
        <w:tab w:val="clear" w:pos="9072"/>
        <w:tab w:val="left" w:pos="7230"/>
      </w:tabs>
      <w:jc w:val="center"/>
      <w:rPr>
        <w:sz w:val="20"/>
        <w:szCs w:val="20"/>
      </w:rPr>
    </w:pPr>
    <w:r w:rsidRPr="00EF7C07">
      <w:rPr>
        <w:sz w:val="20"/>
        <w:szCs w:val="20"/>
      </w:rPr>
      <w:t xml:space="preserve">Strona </w:t>
    </w:r>
    <w:r w:rsidRPr="00EF7C07">
      <w:rPr>
        <w:b/>
        <w:bCs/>
        <w:sz w:val="20"/>
        <w:szCs w:val="20"/>
        <w:lang w:val="en-GB"/>
      </w:rPr>
      <w:fldChar w:fldCharType="begin"/>
    </w:r>
    <w:r w:rsidRPr="00EF7C07">
      <w:rPr>
        <w:b/>
        <w:bCs/>
        <w:sz w:val="20"/>
        <w:szCs w:val="20"/>
        <w:lang w:val="en-GB"/>
      </w:rPr>
      <w:instrText>PAGE</w:instrText>
    </w:r>
    <w:r w:rsidRPr="00EF7C07">
      <w:rPr>
        <w:b/>
        <w:bCs/>
        <w:sz w:val="20"/>
        <w:szCs w:val="20"/>
        <w:lang w:val="en-GB"/>
      </w:rPr>
      <w:fldChar w:fldCharType="separate"/>
    </w:r>
    <w:r w:rsidR="007A6D3D">
      <w:rPr>
        <w:b/>
        <w:bCs/>
        <w:noProof/>
        <w:sz w:val="20"/>
        <w:szCs w:val="20"/>
        <w:lang w:val="en-GB"/>
      </w:rPr>
      <w:t>1</w:t>
    </w:r>
    <w:r w:rsidRPr="00EF7C07">
      <w:rPr>
        <w:b/>
        <w:bCs/>
        <w:sz w:val="20"/>
        <w:szCs w:val="20"/>
        <w:lang w:val="en-GB"/>
      </w:rPr>
      <w:fldChar w:fldCharType="end"/>
    </w:r>
    <w:r w:rsidRPr="00EF7C07">
      <w:rPr>
        <w:sz w:val="20"/>
        <w:szCs w:val="20"/>
      </w:rPr>
      <w:t xml:space="preserve"> z </w:t>
    </w:r>
    <w:r w:rsidRPr="00EF7C07">
      <w:rPr>
        <w:b/>
        <w:bCs/>
        <w:sz w:val="20"/>
        <w:szCs w:val="20"/>
        <w:lang w:val="en-GB"/>
      </w:rPr>
      <w:fldChar w:fldCharType="begin"/>
    </w:r>
    <w:r w:rsidRPr="00EF7C07">
      <w:rPr>
        <w:b/>
        <w:bCs/>
        <w:sz w:val="20"/>
        <w:szCs w:val="20"/>
        <w:lang w:val="en-GB"/>
      </w:rPr>
      <w:instrText>NUMPAGES</w:instrText>
    </w:r>
    <w:r w:rsidRPr="00EF7C07">
      <w:rPr>
        <w:b/>
        <w:bCs/>
        <w:sz w:val="20"/>
        <w:szCs w:val="20"/>
        <w:lang w:val="en-GB"/>
      </w:rPr>
      <w:fldChar w:fldCharType="separate"/>
    </w:r>
    <w:r w:rsidR="007A6D3D">
      <w:rPr>
        <w:b/>
        <w:bCs/>
        <w:noProof/>
        <w:sz w:val="20"/>
        <w:szCs w:val="20"/>
        <w:lang w:val="en-GB"/>
      </w:rPr>
      <w:t>12</w:t>
    </w:r>
    <w:r w:rsidRPr="00EF7C07">
      <w:rPr>
        <w:b/>
        <w:bCs/>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B70D" w14:textId="77777777" w:rsidR="00BE2717" w:rsidRDefault="00BE2717" w:rsidP="00BA3860">
      <w:pPr>
        <w:spacing w:after="0" w:line="240" w:lineRule="auto"/>
      </w:pPr>
      <w:r>
        <w:separator/>
      </w:r>
    </w:p>
  </w:footnote>
  <w:footnote w:type="continuationSeparator" w:id="0">
    <w:p w14:paraId="74453942" w14:textId="77777777" w:rsidR="00BE2717" w:rsidRDefault="00BE2717" w:rsidP="00BA3860">
      <w:pPr>
        <w:spacing w:after="0" w:line="240" w:lineRule="auto"/>
      </w:pPr>
      <w:r>
        <w:continuationSeparator/>
      </w:r>
    </w:p>
  </w:footnote>
  <w:footnote w:type="continuationNotice" w:id="1">
    <w:p w14:paraId="43E21483" w14:textId="77777777" w:rsidR="00BE2717" w:rsidRDefault="00BE2717">
      <w:pPr>
        <w:spacing w:after="0" w:line="240" w:lineRule="auto"/>
      </w:pPr>
    </w:p>
  </w:footnote>
  <w:footnote w:id="2">
    <w:p w14:paraId="31A95038" w14:textId="562455AF" w:rsidR="00EA3D6D" w:rsidRDefault="00EA3D6D" w:rsidP="00EA3D6D">
      <w:pPr>
        <w:pStyle w:val="Tekstprzypisudolnego"/>
      </w:pPr>
      <w:r>
        <w:rPr>
          <w:rStyle w:val="Odwoanieprzypisudolnego"/>
        </w:rPr>
        <w:footnoteRef/>
      </w:r>
      <w:r>
        <w:t xml:space="preserve"> </w:t>
      </w:r>
      <w:r w:rsidRPr="00C84A27">
        <w:rPr>
          <w:sz w:val="18"/>
          <w:szCs w:val="18"/>
        </w:rPr>
        <w:t xml:space="preserve">Zgodnie z tabelą nr 1 stanowiącą zał. 1 do </w:t>
      </w:r>
      <w:r w:rsidR="00AF710D">
        <w:rPr>
          <w:sz w:val="18"/>
          <w:szCs w:val="18"/>
        </w:rPr>
        <w:t>Karty Produktu</w:t>
      </w:r>
    </w:p>
  </w:footnote>
  <w:footnote w:id="3">
    <w:p w14:paraId="477751DB" w14:textId="19C8DFFD" w:rsidR="00EA3D6D" w:rsidRDefault="00EA3D6D" w:rsidP="00EA3D6D">
      <w:pPr>
        <w:pStyle w:val="Tekstprzypisudolnego"/>
      </w:pPr>
      <w:r>
        <w:rPr>
          <w:rStyle w:val="Odwoanieprzypisudolnego"/>
        </w:rPr>
        <w:footnoteRef/>
      </w:r>
      <w:r>
        <w:t xml:space="preserve"> </w:t>
      </w:r>
      <w:r w:rsidRPr="00C84A27">
        <w:rPr>
          <w:sz w:val="18"/>
          <w:szCs w:val="18"/>
        </w:rPr>
        <w:t xml:space="preserve">Zgodnie z tabelą nr </w:t>
      </w:r>
      <w:r w:rsidR="00E846AB">
        <w:rPr>
          <w:sz w:val="18"/>
          <w:szCs w:val="18"/>
        </w:rPr>
        <w:t>2</w:t>
      </w:r>
      <w:r w:rsidRPr="00C84A27">
        <w:rPr>
          <w:sz w:val="18"/>
          <w:szCs w:val="18"/>
        </w:rPr>
        <w:t xml:space="preserve"> stanowiącą zał. 1 do </w:t>
      </w:r>
      <w:r w:rsidR="00AF710D">
        <w:rPr>
          <w:sz w:val="18"/>
          <w:szCs w:val="18"/>
        </w:rPr>
        <w:t>Karty Produktu</w:t>
      </w:r>
    </w:p>
  </w:footnote>
  <w:footnote w:id="4">
    <w:p w14:paraId="478C0C69" w14:textId="0CE5866D" w:rsidR="00EA3D6D" w:rsidRDefault="00EA3D6D" w:rsidP="00EA3D6D">
      <w:pPr>
        <w:pStyle w:val="Tekstprzypisudolnego"/>
      </w:pPr>
      <w:r>
        <w:rPr>
          <w:rStyle w:val="Odwoanieprzypisudolnego"/>
        </w:rPr>
        <w:footnoteRef/>
      </w:r>
      <w:r>
        <w:t xml:space="preserve"> </w:t>
      </w:r>
      <w:r w:rsidRPr="00C84A27">
        <w:rPr>
          <w:sz w:val="18"/>
          <w:szCs w:val="18"/>
        </w:rPr>
        <w:t xml:space="preserve">Zgodnie z tabelą nr </w:t>
      </w:r>
      <w:r w:rsidR="00E846AB">
        <w:rPr>
          <w:sz w:val="18"/>
          <w:szCs w:val="18"/>
        </w:rPr>
        <w:t>3</w:t>
      </w:r>
      <w:r w:rsidRPr="00C84A27">
        <w:rPr>
          <w:sz w:val="18"/>
          <w:szCs w:val="18"/>
        </w:rPr>
        <w:t xml:space="preserve"> stanowiącą zał. 1 do </w:t>
      </w:r>
      <w:r w:rsidR="00AF710D">
        <w:rPr>
          <w:sz w:val="18"/>
          <w:szCs w:val="18"/>
        </w:rPr>
        <w:t>Karty Produktu</w:t>
      </w:r>
    </w:p>
  </w:footnote>
  <w:footnote w:id="5">
    <w:p w14:paraId="62C4E76B" w14:textId="28CB17A7" w:rsidR="00EA3D6D" w:rsidRDefault="00EA3D6D" w:rsidP="00EA3D6D">
      <w:pPr>
        <w:pStyle w:val="Tekstprzypisudolnego"/>
      </w:pPr>
      <w:r>
        <w:rPr>
          <w:rStyle w:val="Odwoanieprzypisudolnego"/>
        </w:rPr>
        <w:footnoteRef/>
      </w:r>
      <w:r>
        <w:t xml:space="preserve"> </w:t>
      </w:r>
      <w:r w:rsidRPr="00C84A27">
        <w:rPr>
          <w:sz w:val="18"/>
          <w:szCs w:val="18"/>
        </w:rPr>
        <w:t xml:space="preserve">Zgodnie z tabelą nr </w:t>
      </w:r>
      <w:r w:rsidR="00E846AB">
        <w:rPr>
          <w:sz w:val="18"/>
          <w:szCs w:val="18"/>
        </w:rPr>
        <w:t>4</w:t>
      </w:r>
      <w:r w:rsidRPr="00C84A27">
        <w:rPr>
          <w:sz w:val="18"/>
          <w:szCs w:val="18"/>
        </w:rPr>
        <w:t xml:space="preserve"> stanowiącą zał. 1 do </w:t>
      </w:r>
      <w:r w:rsidR="00AF710D">
        <w:rPr>
          <w:sz w:val="18"/>
          <w:szCs w:val="18"/>
        </w:rPr>
        <w:t>Karty Produktu</w:t>
      </w:r>
    </w:p>
  </w:footnote>
  <w:footnote w:id="6">
    <w:p w14:paraId="36EED474" w14:textId="65E02ADC" w:rsidR="00EA3D6D" w:rsidRDefault="00EA3D6D" w:rsidP="00EA3D6D">
      <w:pPr>
        <w:pStyle w:val="Tekstprzypisudolnego"/>
      </w:pPr>
      <w:r>
        <w:rPr>
          <w:rStyle w:val="Odwoanieprzypisudolnego"/>
        </w:rPr>
        <w:footnoteRef/>
      </w:r>
      <w:r>
        <w:t xml:space="preserve"> </w:t>
      </w:r>
      <w:r w:rsidRPr="00C84A27">
        <w:rPr>
          <w:sz w:val="18"/>
          <w:szCs w:val="18"/>
        </w:rPr>
        <w:t xml:space="preserve">Zgodnie z tabelą nr </w:t>
      </w:r>
      <w:r w:rsidR="00E846AB">
        <w:rPr>
          <w:sz w:val="18"/>
          <w:szCs w:val="18"/>
        </w:rPr>
        <w:t>5</w:t>
      </w:r>
      <w:r w:rsidRPr="00C84A27">
        <w:rPr>
          <w:sz w:val="18"/>
          <w:szCs w:val="18"/>
        </w:rPr>
        <w:t xml:space="preserve"> stanowiącą zał. 1 do</w:t>
      </w:r>
      <w:r w:rsidR="00AF710D" w:rsidRPr="00AF710D">
        <w:rPr>
          <w:sz w:val="18"/>
          <w:szCs w:val="18"/>
        </w:rPr>
        <w:t xml:space="preserve"> </w:t>
      </w:r>
      <w:r w:rsidR="00AF710D">
        <w:rPr>
          <w:sz w:val="18"/>
          <w:szCs w:val="18"/>
        </w:rPr>
        <w:t>Karty Produktu</w:t>
      </w:r>
    </w:p>
  </w:footnote>
  <w:footnote w:id="7">
    <w:p w14:paraId="03594527" w14:textId="312E1477" w:rsidR="00EA3D6D" w:rsidRDefault="00EA3D6D" w:rsidP="00EA3D6D">
      <w:pPr>
        <w:pStyle w:val="Tekstprzypisudolnego"/>
      </w:pPr>
      <w:r>
        <w:rPr>
          <w:rStyle w:val="Odwoanieprzypisudolnego"/>
        </w:rPr>
        <w:footnoteRef/>
      </w:r>
      <w:r>
        <w:t xml:space="preserve"> </w:t>
      </w:r>
      <w:r w:rsidRPr="00C84A27">
        <w:rPr>
          <w:sz w:val="18"/>
          <w:szCs w:val="18"/>
        </w:rPr>
        <w:t xml:space="preserve">Zgodnie z tabelą nr </w:t>
      </w:r>
      <w:r w:rsidR="00E846AB">
        <w:rPr>
          <w:sz w:val="18"/>
          <w:szCs w:val="18"/>
        </w:rPr>
        <w:t>6</w:t>
      </w:r>
      <w:r w:rsidRPr="00C84A27">
        <w:rPr>
          <w:sz w:val="18"/>
          <w:szCs w:val="18"/>
        </w:rPr>
        <w:t xml:space="preserve"> stanowiącą zał. 1 do </w:t>
      </w:r>
      <w:r w:rsidR="00AF710D">
        <w:rPr>
          <w:sz w:val="18"/>
          <w:szCs w:val="18"/>
        </w:rPr>
        <w:t>Karty Produktu</w:t>
      </w:r>
    </w:p>
  </w:footnote>
  <w:footnote w:id="8">
    <w:p w14:paraId="12BEA8EF" w14:textId="14EA5463" w:rsidR="00EA3D6D" w:rsidRPr="00E81C45" w:rsidRDefault="00EA3D6D" w:rsidP="00EA3D6D">
      <w:pPr>
        <w:pStyle w:val="Tekstprzypisudolnego"/>
        <w:rPr>
          <w:sz w:val="18"/>
          <w:szCs w:val="18"/>
        </w:rPr>
      </w:pPr>
      <w:r>
        <w:rPr>
          <w:rStyle w:val="Odwoanieprzypisudolnego"/>
        </w:rPr>
        <w:footnoteRef/>
      </w:r>
      <w:r>
        <w:t xml:space="preserve"> </w:t>
      </w:r>
      <w:bookmarkStart w:id="1" w:name="_Hlk168397318"/>
      <w:r w:rsidR="00AF710D" w:rsidRPr="00E81C45">
        <w:rPr>
          <w:sz w:val="18"/>
          <w:szCs w:val="18"/>
        </w:rPr>
        <w:t>Mikro i mali przedsiębiorcy, działający na rynku nie dłużej niż 3 lata.</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38C2" w14:textId="39699698" w:rsidR="00774594" w:rsidRDefault="00774594" w:rsidP="00514F09">
    <w:pPr>
      <w:pStyle w:val="Nagwek"/>
      <w:jc w:val="center"/>
    </w:pPr>
  </w:p>
  <w:p w14:paraId="615A6884" w14:textId="77777777" w:rsidR="00774594" w:rsidRDefault="00774594" w:rsidP="00774594">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C19E" w14:textId="73B13BB3" w:rsidR="00697136" w:rsidRDefault="00514F09" w:rsidP="00514F09">
    <w:pPr>
      <w:pStyle w:val="Nagwek"/>
      <w:tabs>
        <w:tab w:val="clear" w:pos="9072"/>
        <w:tab w:val="left" w:pos="5559"/>
      </w:tabs>
      <w:spacing w:before="144" w:after="144"/>
      <w:jc w:val="center"/>
    </w:pPr>
    <w:r>
      <w:rPr>
        <w:noProof/>
        <w:lang w:eastAsia="pl-PL"/>
      </w:rPr>
      <w:drawing>
        <wp:inline distT="0" distB="0" distL="0" distR="0" wp14:anchorId="714C2CDF" wp14:editId="1262681E">
          <wp:extent cx="4562865" cy="515113"/>
          <wp:effectExtent l="0" t="0" r="0" b="0"/>
          <wp:docPr id="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77319" name="Obraz 2023177319"/>
                  <pic:cNvPicPr/>
                </pic:nvPicPr>
                <pic:blipFill>
                  <a:blip r:embed="rId1">
                    <a:extLst>
                      <a:ext uri="{28A0092B-C50C-407E-A947-70E740481C1C}">
                        <a14:useLocalDpi xmlns:a14="http://schemas.microsoft.com/office/drawing/2010/main" val="0"/>
                      </a:ext>
                    </a:extLst>
                  </a:blip>
                  <a:stretch>
                    <a:fillRect/>
                  </a:stretch>
                </pic:blipFill>
                <pic:spPr>
                  <a:xfrm>
                    <a:off x="0" y="0"/>
                    <a:ext cx="4562865" cy="5151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CCF"/>
    <w:multiLevelType w:val="hybridMultilevel"/>
    <w:tmpl w:val="FD7AE9D6"/>
    <w:lvl w:ilvl="0" w:tplc="CA4A381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AB74A5"/>
    <w:multiLevelType w:val="hybridMultilevel"/>
    <w:tmpl w:val="6714F91E"/>
    <w:lvl w:ilvl="0" w:tplc="7D1AB938">
      <w:start w:val="1"/>
      <w:numFmt w:val="decimal"/>
      <w:lvlText w:val="%1)"/>
      <w:lvlJc w:val="left"/>
      <w:pPr>
        <w:ind w:left="928"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15:restartNumberingAfterBreak="0">
    <w:nsid w:val="0BD21991"/>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3" w15:restartNumberingAfterBreak="0">
    <w:nsid w:val="14EF3D5E"/>
    <w:multiLevelType w:val="hybridMultilevel"/>
    <w:tmpl w:val="D4A2EF72"/>
    <w:lvl w:ilvl="0" w:tplc="FFFFFFFF">
      <w:start w:val="1"/>
      <w:numFmt w:val="decimal"/>
      <w:lvlText w:val="%1."/>
      <w:lvlJc w:val="left"/>
      <w:pPr>
        <w:ind w:left="36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04150017">
      <w:start w:val="1"/>
      <w:numFmt w:val="lowerLetter"/>
      <w:lvlText w:val="%4)"/>
      <w:lvlJc w:val="left"/>
      <w:pPr>
        <w:ind w:left="1996"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B508E5"/>
    <w:multiLevelType w:val="hybridMultilevel"/>
    <w:tmpl w:val="CB90FD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E97A2B"/>
    <w:multiLevelType w:val="hybridMultilevel"/>
    <w:tmpl w:val="08A4D60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329A75FA"/>
    <w:multiLevelType w:val="hybridMultilevel"/>
    <w:tmpl w:val="5FCECB52"/>
    <w:lvl w:ilvl="0" w:tplc="FFFFFFFF">
      <w:start w:val="1"/>
      <w:numFmt w:val="decimal"/>
      <w:lvlText w:val="%1)"/>
      <w:lvlJc w:val="left"/>
      <w:pPr>
        <w:ind w:left="720" w:hanging="360"/>
      </w:pPr>
      <w:rPr>
        <w:rFonts w:asciiTheme="minorHAnsi" w:hAnsiTheme="minorHAnsi" w:cstheme="minorHAnsi"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36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5B66A15"/>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8" w15:restartNumberingAfterBreak="0">
    <w:nsid w:val="5FCC7029"/>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9" w15:restartNumberingAfterBreak="0">
    <w:nsid w:val="62954C9D"/>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10" w15:restartNumberingAfterBreak="0">
    <w:nsid w:val="62E07465"/>
    <w:multiLevelType w:val="hybridMultilevel"/>
    <w:tmpl w:val="93025150"/>
    <w:lvl w:ilvl="0" w:tplc="6C8471DC">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47653B0"/>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12" w15:restartNumberingAfterBreak="0">
    <w:nsid w:val="647D4CE5"/>
    <w:multiLevelType w:val="hybridMultilevel"/>
    <w:tmpl w:val="21C04514"/>
    <w:lvl w:ilvl="0" w:tplc="9072F482">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9F169C"/>
    <w:multiLevelType w:val="hybridMultilevel"/>
    <w:tmpl w:val="315E652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6C716CC5"/>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15" w15:restartNumberingAfterBreak="0">
    <w:nsid w:val="6CBF3C41"/>
    <w:multiLevelType w:val="hybridMultilevel"/>
    <w:tmpl w:val="405EACDC"/>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6" w15:restartNumberingAfterBreak="0">
    <w:nsid w:val="7CAB7E52"/>
    <w:multiLevelType w:val="hybridMultilevel"/>
    <w:tmpl w:val="B99887AC"/>
    <w:lvl w:ilvl="0" w:tplc="31EA24F2">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CD24D29"/>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18" w15:restartNumberingAfterBreak="0">
    <w:nsid w:val="7FD90F4B"/>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num w:numId="1" w16cid:durableId="1667903718">
    <w:abstractNumId w:val="1"/>
  </w:num>
  <w:num w:numId="2" w16cid:durableId="1540820633">
    <w:abstractNumId w:val="3"/>
  </w:num>
  <w:num w:numId="3" w16cid:durableId="323551271">
    <w:abstractNumId w:val="13"/>
  </w:num>
  <w:num w:numId="4" w16cid:durableId="1933002950">
    <w:abstractNumId w:val="2"/>
  </w:num>
  <w:num w:numId="5" w16cid:durableId="1009902">
    <w:abstractNumId w:val="12"/>
  </w:num>
  <w:num w:numId="6" w16cid:durableId="1097562056">
    <w:abstractNumId w:val="6"/>
  </w:num>
  <w:num w:numId="7" w16cid:durableId="2044087314">
    <w:abstractNumId w:val="8"/>
  </w:num>
  <w:num w:numId="8" w16cid:durableId="2000762730">
    <w:abstractNumId w:val="17"/>
  </w:num>
  <w:num w:numId="9" w16cid:durableId="1444378674">
    <w:abstractNumId w:val="7"/>
  </w:num>
  <w:num w:numId="10" w16cid:durableId="1928423729">
    <w:abstractNumId w:val="11"/>
  </w:num>
  <w:num w:numId="11" w16cid:durableId="970398818">
    <w:abstractNumId w:val="18"/>
  </w:num>
  <w:num w:numId="12" w16cid:durableId="1220285750">
    <w:abstractNumId w:val="14"/>
  </w:num>
  <w:num w:numId="13" w16cid:durableId="504176313">
    <w:abstractNumId w:val="0"/>
  </w:num>
  <w:num w:numId="14" w16cid:durableId="1502156271">
    <w:abstractNumId w:val="10"/>
  </w:num>
  <w:num w:numId="15" w16cid:durableId="785582550">
    <w:abstractNumId w:val="16"/>
  </w:num>
  <w:num w:numId="16" w16cid:durableId="922646288">
    <w:abstractNumId w:val="4"/>
  </w:num>
  <w:num w:numId="17" w16cid:durableId="1565531097">
    <w:abstractNumId w:val="15"/>
  </w:num>
  <w:num w:numId="18" w16cid:durableId="1322852917">
    <w:abstractNumId w:val="5"/>
  </w:num>
  <w:num w:numId="19" w16cid:durableId="188509209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76"/>
    <w:rsid w:val="0000036C"/>
    <w:rsid w:val="00000564"/>
    <w:rsid w:val="00002716"/>
    <w:rsid w:val="00002C11"/>
    <w:rsid w:val="000030C5"/>
    <w:rsid w:val="000033B0"/>
    <w:rsid w:val="00003DEB"/>
    <w:rsid w:val="00004427"/>
    <w:rsid w:val="00004BAA"/>
    <w:rsid w:val="00005405"/>
    <w:rsid w:val="00006028"/>
    <w:rsid w:val="000062AD"/>
    <w:rsid w:val="000072D8"/>
    <w:rsid w:val="000079CF"/>
    <w:rsid w:val="0001031C"/>
    <w:rsid w:val="00010873"/>
    <w:rsid w:val="00010BC2"/>
    <w:rsid w:val="000126F8"/>
    <w:rsid w:val="00013256"/>
    <w:rsid w:val="000136F8"/>
    <w:rsid w:val="00013F4E"/>
    <w:rsid w:val="00015096"/>
    <w:rsid w:val="000204E5"/>
    <w:rsid w:val="00020FD4"/>
    <w:rsid w:val="00021A28"/>
    <w:rsid w:val="0002208B"/>
    <w:rsid w:val="00022217"/>
    <w:rsid w:val="000226AB"/>
    <w:rsid w:val="0002286C"/>
    <w:rsid w:val="0002295B"/>
    <w:rsid w:val="00022FD8"/>
    <w:rsid w:val="00026433"/>
    <w:rsid w:val="00026B79"/>
    <w:rsid w:val="00026BE0"/>
    <w:rsid w:val="00026F6E"/>
    <w:rsid w:val="000271D1"/>
    <w:rsid w:val="0002725A"/>
    <w:rsid w:val="00027378"/>
    <w:rsid w:val="000273F9"/>
    <w:rsid w:val="00030B4F"/>
    <w:rsid w:val="000317DC"/>
    <w:rsid w:val="000351A2"/>
    <w:rsid w:val="00035F36"/>
    <w:rsid w:val="00040A4A"/>
    <w:rsid w:val="0004424A"/>
    <w:rsid w:val="00044468"/>
    <w:rsid w:val="0004501D"/>
    <w:rsid w:val="0004528D"/>
    <w:rsid w:val="000452EC"/>
    <w:rsid w:val="000460AB"/>
    <w:rsid w:val="0004618D"/>
    <w:rsid w:val="0004668E"/>
    <w:rsid w:val="000479EB"/>
    <w:rsid w:val="000517E0"/>
    <w:rsid w:val="00051F49"/>
    <w:rsid w:val="00052D29"/>
    <w:rsid w:val="000536C3"/>
    <w:rsid w:val="00053F11"/>
    <w:rsid w:val="000546F0"/>
    <w:rsid w:val="00054D21"/>
    <w:rsid w:val="00055219"/>
    <w:rsid w:val="00055DCA"/>
    <w:rsid w:val="000575F4"/>
    <w:rsid w:val="000578F3"/>
    <w:rsid w:val="000579BF"/>
    <w:rsid w:val="00060437"/>
    <w:rsid w:val="00061BA9"/>
    <w:rsid w:val="00061E7E"/>
    <w:rsid w:val="000635E8"/>
    <w:rsid w:val="00064350"/>
    <w:rsid w:val="000643BF"/>
    <w:rsid w:val="00064EE7"/>
    <w:rsid w:val="000671CD"/>
    <w:rsid w:val="00067387"/>
    <w:rsid w:val="00067B18"/>
    <w:rsid w:val="000710BD"/>
    <w:rsid w:val="000719CA"/>
    <w:rsid w:val="00072D0F"/>
    <w:rsid w:val="000748AA"/>
    <w:rsid w:val="0007585A"/>
    <w:rsid w:val="0007713A"/>
    <w:rsid w:val="000775A6"/>
    <w:rsid w:val="00077D14"/>
    <w:rsid w:val="00080497"/>
    <w:rsid w:val="000830D5"/>
    <w:rsid w:val="000838A4"/>
    <w:rsid w:val="00085031"/>
    <w:rsid w:val="00085D5A"/>
    <w:rsid w:val="000863B4"/>
    <w:rsid w:val="00086B7E"/>
    <w:rsid w:val="000902D9"/>
    <w:rsid w:val="000904FF"/>
    <w:rsid w:val="00092696"/>
    <w:rsid w:val="000926CC"/>
    <w:rsid w:val="000929E8"/>
    <w:rsid w:val="000930A6"/>
    <w:rsid w:val="00093297"/>
    <w:rsid w:val="00093D27"/>
    <w:rsid w:val="00093F5B"/>
    <w:rsid w:val="000940C6"/>
    <w:rsid w:val="00094205"/>
    <w:rsid w:val="00094A4E"/>
    <w:rsid w:val="00096400"/>
    <w:rsid w:val="000964F6"/>
    <w:rsid w:val="000975E2"/>
    <w:rsid w:val="00097D21"/>
    <w:rsid w:val="000A1230"/>
    <w:rsid w:val="000A14C0"/>
    <w:rsid w:val="000A19FE"/>
    <w:rsid w:val="000A44F8"/>
    <w:rsid w:val="000A4BBD"/>
    <w:rsid w:val="000A52A3"/>
    <w:rsid w:val="000A54B3"/>
    <w:rsid w:val="000A64A4"/>
    <w:rsid w:val="000A671E"/>
    <w:rsid w:val="000A6AD2"/>
    <w:rsid w:val="000B054B"/>
    <w:rsid w:val="000B0B13"/>
    <w:rsid w:val="000B1123"/>
    <w:rsid w:val="000B2901"/>
    <w:rsid w:val="000B2D34"/>
    <w:rsid w:val="000B4806"/>
    <w:rsid w:val="000B4D49"/>
    <w:rsid w:val="000B60CD"/>
    <w:rsid w:val="000B6674"/>
    <w:rsid w:val="000C18EB"/>
    <w:rsid w:val="000C1A1B"/>
    <w:rsid w:val="000C1AEB"/>
    <w:rsid w:val="000C1D62"/>
    <w:rsid w:val="000C2A30"/>
    <w:rsid w:val="000C2E56"/>
    <w:rsid w:val="000C3494"/>
    <w:rsid w:val="000C350C"/>
    <w:rsid w:val="000C3EC7"/>
    <w:rsid w:val="000C3F38"/>
    <w:rsid w:val="000C46E6"/>
    <w:rsid w:val="000C6193"/>
    <w:rsid w:val="000C66AA"/>
    <w:rsid w:val="000C6B76"/>
    <w:rsid w:val="000D0985"/>
    <w:rsid w:val="000D169E"/>
    <w:rsid w:val="000D19F2"/>
    <w:rsid w:val="000D1A8F"/>
    <w:rsid w:val="000D32EE"/>
    <w:rsid w:val="000D5402"/>
    <w:rsid w:val="000D5C79"/>
    <w:rsid w:val="000D600B"/>
    <w:rsid w:val="000D7CA0"/>
    <w:rsid w:val="000E0B1C"/>
    <w:rsid w:val="000E0C8E"/>
    <w:rsid w:val="000E1000"/>
    <w:rsid w:val="000E11F1"/>
    <w:rsid w:val="000E1F06"/>
    <w:rsid w:val="000E2C8D"/>
    <w:rsid w:val="000E3464"/>
    <w:rsid w:val="000E34E8"/>
    <w:rsid w:val="000E46D0"/>
    <w:rsid w:val="000E6CDA"/>
    <w:rsid w:val="000E727D"/>
    <w:rsid w:val="000E74A8"/>
    <w:rsid w:val="000F02C1"/>
    <w:rsid w:val="000F0DB5"/>
    <w:rsid w:val="000F0FE3"/>
    <w:rsid w:val="000F170F"/>
    <w:rsid w:val="000F19D1"/>
    <w:rsid w:val="000F1DC2"/>
    <w:rsid w:val="000F27BA"/>
    <w:rsid w:val="000F295C"/>
    <w:rsid w:val="000F362E"/>
    <w:rsid w:val="000F4935"/>
    <w:rsid w:val="000F5EB1"/>
    <w:rsid w:val="000F72F8"/>
    <w:rsid w:val="000F73D9"/>
    <w:rsid w:val="000F7537"/>
    <w:rsid w:val="00100348"/>
    <w:rsid w:val="00100EC5"/>
    <w:rsid w:val="00102E5E"/>
    <w:rsid w:val="0010318F"/>
    <w:rsid w:val="00103A20"/>
    <w:rsid w:val="00103FAF"/>
    <w:rsid w:val="001047E5"/>
    <w:rsid w:val="00104E9D"/>
    <w:rsid w:val="00104F98"/>
    <w:rsid w:val="001069FE"/>
    <w:rsid w:val="0011161E"/>
    <w:rsid w:val="001120C5"/>
    <w:rsid w:val="00112990"/>
    <w:rsid w:val="001138CB"/>
    <w:rsid w:val="00114AF7"/>
    <w:rsid w:val="00114FDE"/>
    <w:rsid w:val="0011530E"/>
    <w:rsid w:val="001154B0"/>
    <w:rsid w:val="0011644D"/>
    <w:rsid w:val="001201DA"/>
    <w:rsid w:val="001214A9"/>
    <w:rsid w:val="00121635"/>
    <w:rsid w:val="00121F2F"/>
    <w:rsid w:val="0012200A"/>
    <w:rsid w:val="00122920"/>
    <w:rsid w:val="0012340D"/>
    <w:rsid w:val="00124555"/>
    <w:rsid w:val="001265AA"/>
    <w:rsid w:val="001274DF"/>
    <w:rsid w:val="00130E21"/>
    <w:rsid w:val="00131564"/>
    <w:rsid w:val="0013162B"/>
    <w:rsid w:val="001327DB"/>
    <w:rsid w:val="00133B15"/>
    <w:rsid w:val="001341D8"/>
    <w:rsid w:val="0013493F"/>
    <w:rsid w:val="00134DE1"/>
    <w:rsid w:val="0013531F"/>
    <w:rsid w:val="0013551A"/>
    <w:rsid w:val="00135EC2"/>
    <w:rsid w:val="001368DB"/>
    <w:rsid w:val="00136E37"/>
    <w:rsid w:val="001375D5"/>
    <w:rsid w:val="001376B8"/>
    <w:rsid w:val="00137E70"/>
    <w:rsid w:val="001403E0"/>
    <w:rsid w:val="00140A5C"/>
    <w:rsid w:val="00141695"/>
    <w:rsid w:val="00141E20"/>
    <w:rsid w:val="00142B1C"/>
    <w:rsid w:val="00143B24"/>
    <w:rsid w:val="00144963"/>
    <w:rsid w:val="001458FD"/>
    <w:rsid w:val="001465A3"/>
    <w:rsid w:val="001474DB"/>
    <w:rsid w:val="00147AAF"/>
    <w:rsid w:val="001527A6"/>
    <w:rsid w:val="00152A52"/>
    <w:rsid w:val="00153ADE"/>
    <w:rsid w:val="00153C84"/>
    <w:rsid w:val="00154ACF"/>
    <w:rsid w:val="00154B15"/>
    <w:rsid w:val="00156229"/>
    <w:rsid w:val="0015630F"/>
    <w:rsid w:val="001564A5"/>
    <w:rsid w:val="00156729"/>
    <w:rsid w:val="00156913"/>
    <w:rsid w:val="00156F4B"/>
    <w:rsid w:val="0015758E"/>
    <w:rsid w:val="001579EE"/>
    <w:rsid w:val="0016014E"/>
    <w:rsid w:val="001605D3"/>
    <w:rsid w:val="00161449"/>
    <w:rsid w:val="00161757"/>
    <w:rsid w:val="00161C30"/>
    <w:rsid w:val="00163152"/>
    <w:rsid w:val="001636DF"/>
    <w:rsid w:val="00165915"/>
    <w:rsid w:val="0016599A"/>
    <w:rsid w:val="00165E65"/>
    <w:rsid w:val="00166BB0"/>
    <w:rsid w:val="00166C13"/>
    <w:rsid w:val="00167E2F"/>
    <w:rsid w:val="00167F0A"/>
    <w:rsid w:val="0017231F"/>
    <w:rsid w:val="00172B3F"/>
    <w:rsid w:val="00172C3A"/>
    <w:rsid w:val="00172E83"/>
    <w:rsid w:val="001732EA"/>
    <w:rsid w:val="00173CB5"/>
    <w:rsid w:val="00174500"/>
    <w:rsid w:val="00176641"/>
    <w:rsid w:val="00177639"/>
    <w:rsid w:val="00177C52"/>
    <w:rsid w:val="00180AFB"/>
    <w:rsid w:val="00180B85"/>
    <w:rsid w:val="00184628"/>
    <w:rsid w:val="0018489E"/>
    <w:rsid w:val="00185AB9"/>
    <w:rsid w:val="00185BD8"/>
    <w:rsid w:val="001873FC"/>
    <w:rsid w:val="0018786E"/>
    <w:rsid w:val="00187E6C"/>
    <w:rsid w:val="001905C6"/>
    <w:rsid w:val="00191675"/>
    <w:rsid w:val="001917FC"/>
    <w:rsid w:val="00192548"/>
    <w:rsid w:val="00192AC2"/>
    <w:rsid w:val="00192DD1"/>
    <w:rsid w:val="00193F22"/>
    <w:rsid w:val="001945CF"/>
    <w:rsid w:val="00195FFC"/>
    <w:rsid w:val="0019618C"/>
    <w:rsid w:val="001961B6"/>
    <w:rsid w:val="00196326"/>
    <w:rsid w:val="0019659C"/>
    <w:rsid w:val="00196822"/>
    <w:rsid w:val="00196D68"/>
    <w:rsid w:val="00196F5D"/>
    <w:rsid w:val="001A127E"/>
    <w:rsid w:val="001A2567"/>
    <w:rsid w:val="001A28B3"/>
    <w:rsid w:val="001A2A5C"/>
    <w:rsid w:val="001A4392"/>
    <w:rsid w:val="001A459B"/>
    <w:rsid w:val="001A4E04"/>
    <w:rsid w:val="001A6554"/>
    <w:rsid w:val="001B0FAC"/>
    <w:rsid w:val="001B152A"/>
    <w:rsid w:val="001B1EA4"/>
    <w:rsid w:val="001B440A"/>
    <w:rsid w:val="001B49B1"/>
    <w:rsid w:val="001B5B41"/>
    <w:rsid w:val="001B6FAE"/>
    <w:rsid w:val="001C1EF1"/>
    <w:rsid w:val="001C20EE"/>
    <w:rsid w:val="001C26C2"/>
    <w:rsid w:val="001C3349"/>
    <w:rsid w:val="001C352C"/>
    <w:rsid w:val="001C4B06"/>
    <w:rsid w:val="001C5DAD"/>
    <w:rsid w:val="001C6CC2"/>
    <w:rsid w:val="001C7E9C"/>
    <w:rsid w:val="001D02AF"/>
    <w:rsid w:val="001D1626"/>
    <w:rsid w:val="001D1C13"/>
    <w:rsid w:val="001D1E46"/>
    <w:rsid w:val="001D233E"/>
    <w:rsid w:val="001D258D"/>
    <w:rsid w:val="001D2B35"/>
    <w:rsid w:val="001D353E"/>
    <w:rsid w:val="001D3980"/>
    <w:rsid w:val="001D46C7"/>
    <w:rsid w:val="001D4D30"/>
    <w:rsid w:val="001D5417"/>
    <w:rsid w:val="001D5BB0"/>
    <w:rsid w:val="001D64F2"/>
    <w:rsid w:val="001D7381"/>
    <w:rsid w:val="001E0DA4"/>
    <w:rsid w:val="001E0DFF"/>
    <w:rsid w:val="001E112E"/>
    <w:rsid w:val="001E12C2"/>
    <w:rsid w:val="001E5DC5"/>
    <w:rsid w:val="001F0850"/>
    <w:rsid w:val="001F0F25"/>
    <w:rsid w:val="001F142C"/>
    <w:rsid w:val="001F2491"/>
    <w:rsid w:val="001F2731"/>
    <w:rsid w:val="001F2CDB"/>
    <w:rsid w:val="001F3AF8"/>
    <w:rsid w:val="001F3DF0"/>
    <w:rsid w:val="001F499D"/>
    <w:rsid w:val="001F520E"/>
    <w:rsid w:val="001F5624"/>
    <w:rsid w:val="001F7A84"/>
    <w:rsid w:val="00200059"/>
    <w:rsid w:val="00200896"/>
    <w:rsid w:val="002027CC"/>
    <w:rsid w:val="00203A46"/>
    <w:rsid w:val="00204E20"/>
    <w:rsid w:val="002056AD"/>
    <w:rsid w:val="00205E3D"/>
    <w:rsid w:val="00207F83"/>
    <w:rsid w:val="00210534"/>
    <w:rsid w:val="00211D69"/>
    <w:rsid w:val="002138FE"/>
    <w:rsid w:val="00213F1D"/>
    <w:rsid w:val="00214734"/>
    <w:rsid w:val="00214F58"/>
    <w:rsid w:val="0021652C"/>
    <w:rsid w:val="0021654C"/>
    <w:rsid w:val="00216CDB"/>
    <w:rsid w:val="00217FE7"/>
    <w:rsid w:val="00220B11"/>
    <w:rsid w:val="00220E6E"/>
    <w:rsid w:val="002213D4"/>
    <w:rsid w:val="00221A9F"/>
    <w:rsid w:val="00223236"/>
    <w:rsid w:val="0022627D"/>
    <w:rsid w:val="00230836"/>
    <w:rsid w:val="00231CDB"/>
    <w:rsid w:val="00232644"/>
    <w:rsid w:val="002341C7"/>
    <w:rsid w:val="0023462C"/>
    <w:rsid w:val="002346C3"/>
    <w:rsid w:val="002356F2"/>
    <w:rsid w:val="0023599F"/>
    <w:rsid w:val="00236510"/>
    <w:rsid w:val="00237DCA"/>
    <w:rsid w:val="00237F1A"/>
    <w:rsid w:val="00241025"/>
    <w:rsid w:val="0024156E"/>
    <w:rsid w:val="00241DBD"/>
    <w:rsid w:val="00242EEF"/>
    <w:rsid w:val="0024331E"/>
    <w:rsid w:val="00243BEF"/>
    <w:rsid w:val="002447AC"/>
    <w:rsid w:val="00245CBA"/>
    <w:rsid w:val="002463A3"/>
    <w:rsid w:val="00246BD4"/>
    <w:rsid w:val="00246F75"/>
    <w:rsid w:val="00247E13"/>
    <w:rsid w:val="00250175"/>
    <w:rsid w:val="002511F5"/>
    <w:rsid w:val="00251C97"/>
    <w:rsid w:val="0025381D"/>
    <w:rsid w:val="00254F10"/>
    <w:rsid w:val="0025584C"/>
    <w:rsid w:val="00255ADA"/>
    <w:rsid w:val="00255BA9"/>
    <w:rsid w:val="00257186"/>
    <w:rsid w:val="0025748C"/>
    <w:rsid w:val="00257B61"/>
    <w:rsid w:val="002612FF"/>
    <w:rsid w:val="002615EE"/>
    <w:rsid w:val="002639D9"/>
    <w:rsid w:val="00264AC4"/>
    <w:rsid w:val="00265256"/>
    <w:rsid w:val="00265DDA"/>
    <w:rsid w:val="00265E3C"/>
    <w:rsid w:val="00266758"/>
    <w:rsid w:val="00266CB3"/>
    <w:rsid w:val="0026712B"/>
    <w:rsid w:val="00267BFB"/>
    <w:rsid w:val="00270BF4"/>
    <w:rsid w:val="00274ED6"/>
    <w:rsid w:val="00276339"/>
    <w:rsid w:val="00276422"/>
    <w:rsid w:val="002771E9"/>
    <w:rsid w:val="00277276"/>
    <w:rsid w:val="00277596"/>
    <w:rsid w:val="002802A7"/>
    <w:rsid w:val="002808FF"/>
    <w:rsid w:val="00280B0A"/>
    <w:rsid w:val="00281C3A"/>
    <w:rsid w:val="00282514"/>
    <w:rsid w:val="002826E5"/>
    <w:rsid w:val="002829E1"/>
    <w:rsid w:val="002832F5"/>
    <w:rsid w:val="0028442F"/>
    <w:rsid w:val="002844AD"/>
    <w:rsid w:val="002845CA"/>
    <w:rsid w:val="0028528D"/>
    <w:rsid w:val="00286415"/>
    <w:rsid w:val="00286819"/>
    <w:rsid w:val="00286D53"/>
    <w:rsid w:val="00287453"/>
    <w:rsid w:val="00287963"/>
    <w:rsid w:val="00287CB9"/>
    <w:rsid w:val="0029049F"/>
    <w:rsid w:val="00291940"/>
    <w:rsid w:val="00292272"/>
    <w:rsid w:val="00293159"/>
    <w:rsid w:val="00294126"/>
    <w:rsid w:val="00295365"/>
    <w:rsid w:val="00295991"/>
    <w:rsid w:val="00296C17"/>
    <w:rsid w:val="00297D72"/>
    <w:rsid w:val="002A0C7D"/>
    <w:rsid w:val="002A1F7A"/>
    <w:rsid w:val="002A3ACC"/>
    <w:rsid w:val="002A4EF0"/>
    <w:rsid w:val="002A5706"/>
    <w:rsid w:val="002A63A2"/>
    <w:rsid w:val="002A70F2"/>
    <w:rsid w:val="002A7AD7"/>
    <w:rsid w:val="002A7FFE"/>
    <w:rsid w:val="002B11C1"/>
    <w:rsid w:val="002B2AB9"/>
    <w:rsid w:val="002B2C3D"/>
    <w:rsid w:val="002B3118"/>
    <w:rsid w:val="002B33E7"/>
    <w:rsid w:val="002B4790"/>
    <w:rsid w:val="002B570E"/>
    <w:rsid w:val="002B6A7C"/>
    <w:rsid w:val="002C1A88"/>
    <w:rsid w:val="002C2B6A"/>
    <w:rsid w:val="002C3442"/>
    <w:rsid w:val="002C3954"/>
    <w:rsid w:val="002C5275"/>
    <w:rsid w:val="002C55DE"/>
    <w:rsid w:val="002C5EEF"/>
    <w:rsid w:val="002C7677"/>
    <w:rsid w:val="002D019F"/>
    <w:rsid w:val="002D09DD"/>
    <w:rsid w:val="002D1C48"/>
    <w:rsid w:val="002D38B6"/>
    <w:rsid w:val="002D3E88"/>
    <w:rsid w:val="002D737F"/>
    <w:rsid w:val="002D7641"/>
    <w:rsid w:val="002E0530"/>
    <w:rsid w:val="002E0A47"/>
    <w:rsid w:val="002E0F33"/>
    <w:rsid w:val="002E171C"/>
    <w:rsid w:val="002E1C5A"/>
    <w:rsid w:val="002E39B9"/>
    <w:rsid w:val="002E4E07"/>
    <w:rsid w:val="002E53AF"/>
    <w:rsid w:val="002E5C88"/>
    <w:rsid w:val="002E5C9D"/>
    <w:rsid w:val="002E7001"/>
    <w:rsid w:val="002F03F4"/>
    <w:rsid w:val="002F0D52"/>
    <w:rsid w:val="002F10D0"/>
    <w:rsid w:val="002F15C0"/>
    <w:rsid w:val="002F1AA4"/>
    <w:rsid w:val="002F2365"/>
    <w:rsid w:val="002F61F8"/>
    <w:rsid w:val="00300470"/>
    <w:rsid w:val="003023B8"/>
    <w:rsid w:val="00302511"/>
    <w:rsid w:val="0030323F"/>
    <w:rsid w:val="0030415C"/>
    <w:rsid w:val="00305C5A"/>
    <w:rsid w:val="003069DD"/>
    <w:rsid w:val="003071CC"/>
    <w:rsid w:val="003077F0"/>
    <w:rsid w:val="003105D3"/>
    <w:rsid w:val="00310730"/>
    <w:rsid w:val="00311094"/>
    <w:rsid w:val="00311166"/>
    <w:rsid w:val="0031356C"/>
    <w:rsid w:val="003136F0"/>
    <w:rsid w:val="00313BEA"/>
    <w:rsid w:val="003152BA"/>
    <w:rsid w:val="003156FE"/>
    <w:rsid w:val="003172D4"/>
    <w:rsid w:val="0031748F"/>
    <w:rsid w:val="003177E4"/>
    <w:rsid w:val="00321EA9"/>
    <w:rsid w:val="00322567"/>
    <w:rsid w:val="00322715"/>
    <w:rsid w:val="00323B16"/>
    <w:rsid w:val="003244B8"/>
    <w:rsid w:val="0032794E"/>
    <w:rsid w:val="0033003B"/>
    <w:rsid w:val="00333542"/>
    <w:rsid w:val="00333757"/>
    <w:rsid w:val="003369D7"/>
    <w:rsid w:val="0033705C"/>
    <w:rsid w:val="0033726F"/>
    <w:rsid w:val="00337B7D"/>
    <w:rsid w:val="00337D15"/>
    <w:rsid w:val="00337EAC"/>
    <w:rsid w:val="003408A3"/>
    <w:rsid w:val="00341148"/>
    <w:rsid w:val="003419FE"/>
    <w:rsid w:val="00342319"/>
    <w:rsid w:val="00342321"/>
    <w:rsid w:val="00342337"/>
    <w:rsid w:val="00344C2E"/>
    <w:rsid w:val="00346A4B"/>
    <w:rsid w:val="00347A59"/>
    <w:rsid w:val="003503E6"/>
    <w:rsid w:val="003505BD"/>
    <w:rsid w:val="00351209"/>
    <w:rsid w:val="003520A1"/>
    <w:rsid w:val="003530CD"/>
    <w:rsid w:val="0035498E"/>
    <w:rsid w:val="00354B83"/>
    <w:rsid w:val="00355C99"/>
    <w:rsid w:val="003562D8"/>
    <w:rsid w:val="003568EB"/>
    <w:rsid w:val="00356AFF"/>
    <w:rsid w:val="00357EAA"/>
    <w:rsid w:val="0036036F"/>
    <w:rsid w:val="00361601"/>
    <w:rsid w:val="003619AC"/>
    <w:rsid w:val="00364012"/>
    <w:rsid w:val="00364014"/>
    <w:rsid w:val="0036412E"/>
    <w:rsid w:val="0036433D"/>
    <w:rsid w:val="0036546E"/>
    <w:rsid w:val="00366631"/>
    <w:rsid w:val="0037035F"/>
    <w:rsid w:val="00370740"/>
    <w:rsid w:val="00370894"/>
    <w:rsid w:val="00371752"/>
    <w:rsid w:val="00371EDA"/>
    <w:rsid w:val="003725E0"/>
    <w:rsid w:val="0037277E"/>
    <w:rsid w:val="00375279"/>
    <w:rsid w:val="00375439"/>
    <w:rsid w:val="00376D87"/>
    <w:rsid w:val="003770AC"/>
    <w:rsid w:val="00380643"/>
    <w:rsid w:val="003812EC"/>
    <w:rsid w:val="00383213"/>
    <w:rsid w:val="003837CF"/>
    <w:rsid w:val="00385819"/>
    <w:rsid w:val="003864F6"/>
    <w:rsid w:val="003874B4"/>
    <w:rsid w:val="0038795D"/>
    <w:rsid w:val="0039020E"/>
    <w:rsid w:val="00390224"/>
    <w:rsid w:val="003905A5"/>
    <w:rsid w:val="00390C6C"/>
    <w:rsid w:val="00390DED"/>
    <w:rsid w:val="00393194"/>
    <w:rsid w:val="00393A90"/>
    <w:rsid w:val="00393AC7"/>
    <w:rsid w:val="00394558"/>
    <w:rsid w:val="003976F1"/>
    <w:rsid w:val="003A0B44"/>
    <w:rsid w:val="003A274C"/>
    <w:rsid w:val="003A296A"/>
    <w:rsid w:val="003A4432"/>
    <w:rsid w:val="003A5B8F"/>
    <w:rsid w:val="003A6E1F"/>
    <w:rsid w:val="003A6EEF"/>
    <w:rsid w:val="003B4333"/>
    <w:rsid w:val="003B4704"/>
    <w:rsid w:val="003B59FB"/>
    <w:rsid w:val="003B609B"/>
    <w:rsid w:val="003B6C06"/>
    <w:rsid w:val="003B6C85"/>
    <w:rsid w:val="003C12E3"/>
    <w:rsid w:val="003C14C7"/>
    <w:rsid w:val="003C1B34"/>
    <w:rsid w:val="003C2446"/>
    <w:rsid w:val="003C3484"/>
    <w:rsid w:val="003C3D39"/>
    <w:rsid w:val="003C4178"/>
    <w:rsid w:val="003C4BEB"/>
    <w:rsid w:val="003C5D10"/>
    <w:rsid w:val="003C6662"/>
    <w:rsid w:val="003C6EC8"/>
    <w:rsid w:val="003C7F80"/>
    <w:rsid w:val="003D0620"/>
    <w:rsid w:val="003D0761"/>
    <w:rsid w:val="003D0A2C"/>
    <w:rsid w:val="003D1574"/>
    <w:rsid w:val="003D15FD"/>
    <w:rsid w:val="003D16CC"/>
    <w:rsid w:val="003D2885"/>
    <w:rsid w:val="003D2F5E"/>
    <w:rsid w:val="003D3F38"/>
    <w:rsid w:val="003D48A9"/>
    <w:rsid w:val="003D5A18"/>
    <w:rsid w:val="003D6269"/>
    <w:rsid w:val="003D779C"/>
    <w:rsid w:val="003E0713"/>
    <w:rsid w:val="003E185A"/>
    <w:rsid w:val="003E18F6"/>
    <w:rsid w:val="003E2A8D"/>
    <w:rsid w:val="003E475F"/>
    <w:rsid w:val="003E4EB8"/>
    <w:rsid w:val="003E714F"/>
    <w:rsid w:val="003E789C"/>
    <w:rsid w:val="003E7C2C"/>
    <w:rsid w:val="003F06BC"/>
    <w:rsid w:val="003F0DFE"/>
    <w:rsid w:val="003F16BA"/>
    <w:rsid w:val="003F1B5D"/>
    <w:rsid w:val="003F2314"/>
    <w:rsid w:val="003F2657"/>
    <w:rsid w:val="003F2A2A"/>
    <w:rsid w:val="003F36BC"/>
    <w:rsid w:val="003F3A1E"/>
    <w:rsid w:val="003F58EB"/>
    <w:rsid w:val="003F5A09"/>
    <w:rsid w:val="003F5E54"/>
    <w:rsid w:val="003F5FC4"/>
    <w:rsid w:val="003F6996"/>
    <w:rsid w:val="003F6DBA"/>
    <w:rsid w:val="00400591"/>
    <w:rsid w:val="00400805"/>
    <w:rsid w:val="00402411"/>
    <w:rsid w:val="00403DB3"/>
    <w:rsid w:val="004040CC"/>
    <w:rsid w:val="00404585"/>
    <w:rsid w:val="004049EC"/>
    <w:rsid w:val="00404AB8"/>
    <w:rsid w:val="004053E8"/>
    <w:rsid w:val="00406C3A"/>
    <w:rsid w:val="00407117"/>
    <w:rsid w:val="004103A6"/>
    <w:rsid w:val="00412333"/>
    <w:rsid w:val="0041286D"/>
    <w:rsid w:val="00412FB1"/>
    <w:rsid w:val="00413BDB"/>
    <w:rsid w:val="00414998"/>
    <w:rsid w:val="00414ED9"/>
    <w:rsid w:val="00415A47"/>
    <w:rsid w:val="00415F22"/>
    <w:rsid w:val="00416E2E"/>
    <w:rsid w:val="004170CA"/>
    <w:rsid w:val="00417BC4"/>
    <w:rsid w:val="00417CD9"/>
    <w:rsid w:val="00422796"/>
    <w:rsid w:val="0042698F"/>
    <w:rsid w:val="00426BF5"/>
    <w:rsid w:val="00427B44"/>
    <w:rsid w:val="00427DC6"/>
    <w:rsid w:val="00427FAC"/>
    <w:rsid w:val="0043189E"/>
    <w:rsid w:val="0043195B"/>
    <w:rsid w:val="00435608"/>
    <w:rsid w:val="00436888"/>
    <w:rsid w:val="00437E1D"/>
    <w:rsid w:val="00441001"/>
    <w:rsid w:val="004419C0"/>
    <w:rsid w:val="00441A43"/>
    <w:rsid w:val="00441F41"/>
    <w:rsid w:val="00442315"/>
    <w:rsid w:val="004438FE"/>
    <w:rsid w:val="00444A14"/>
    <w:rsid w:val="00445D37"/>
    <w:rsid w:val="00445D82"/>
    <w:rsid w:val="004468C9"/>
    <w:rsid w:val="00447A34"/>
    <w:rsid w:val="004501FA"/>
    <w:rsid w:val="00451213"/>
    <w:rsid w:val="00451794"/>
    <w:rsid w:val="00451A01"/>
    <w:rsid w:val="00452C7E"/>
    <w:rsid w:val="00452D63"/>
    <w:rsid w:val="00453D3D"/>
    <w:rsid w:val="00454DAF"/>
    <w:rsid w:val="00455412"/>
    <w:rsid w:val="004563B3"/>
    <w:rsid w:val="00460770"/>
    <w:rsid w:val="00462294"/>
    <w:rsid w:val="00462C9B"/>
    <w:rsid w:val="00462E12"/>
    <w:rsid w:val="00462E39"/>
    <w:rsid w:val="00462F04"/>
    <w:rsid w:val="00465AF8"/>
    <w:rsid w:val="00465DD6"/>
    <w:rsid w:val="004664B7"/>
    <w:rsid w:val="00467BCB"/>
    <w:rsid w:val="00470856"/>
    <w:rsid w:val="00470E46"/>
    <w:rsid w:val="00474436"/>
    <w:rsid w:val="00475C2E"/>
    <w:rsid w:val="00477973"/>
    <w:rsid w:val="00477AC0"/>
    <w:rsid w:val="004806E7"/>
    <w:rsid w:val="00480CFB"/>
    <w:rsid w:val="00480D18"/>
    <w:rsid w:val="00481662"/>
    <w:rsid w:val="00481BFB"/>
    <w:rsid w:val="00483BE0"/>
    <w:rsid w:val="00484263"/>
    <w:rsid w:val="00484575"/>
    <w:rsid w:val="004858EB"/>
    <w:rsid w:val="004866B2"/>
    <w:rsid w:val="00486BD1"/>
    <w:rsid w:val="00486FAD"/>
    <w:rsid w:val="00490A94"/>
    <w:rsid w:val="00491545"/>
    <w:rsid w:val="0049162B"/>
    <w:rsid w:val="0049265B"/>
    <w:rsid w:val="00492C60"/>
    <w:rsid w:val="00492DAE"/>
    <w:rsid w:val="00493D58"/>
    <w:rsid w:val="00493ED5"/>
    <w:rsid w:val="00494829"/>
    <w:rsid w:val="00497D40"/>
    <w:rsid w:val="004A07B8"/>
    <w:rsid w:val="004A0B15"/>
    <w:rsid w:val="004A101A"/>
    <w:rsid w:val="004A1C6A"/>
    <w:rsid w:val="004A1C98"/>
    <w:rsid w:val="004A232A"/>
    <w:rsid w:val="004A2BE8"/>
    <w:rsid w:val="004A2F25"/>
    <w:rsid w:val="004A3549"/>
    <w:rsid w:val="004A44A5"/>
    <w:rsid w:val="004A6756"/>
    <w:rsid w:val="004A6789"/>
    <w:rsid w:val="004B124B"/>
    <w:rsid w:val="004B1403"/>
    <w:rsid w:val="004B22CA"/>
    <w:rsid w:val="004B3128"/>
    <w:rsid w:val="004B3134"/>
    <w:rsid w:val="004B3187"/>
    <w:rsid w:val="004B337C"/>
    <w:rsid w:val="004B5178"/>
    <w:rsid w:val="004B6FAC"/>
    <w:rsid w:val="004B7707"/>
    <w:rsid w:val="004B7B32"/>
    <w:rsid w:val="004B7C13"/>
    <w:rsid w:val="004C052F"/>
    <w:rsid w:val="004C06B7"/>
    <w:rsid w:val="004C294F"/>
    <w:rsid w:val="004C4158"/>
    <w:rsid w:val="004C4625"/>
    <w:rsid w:val="004C56C8"/>
    <w:rsid w:val="004C5859"/>
    <w:rsid w:val="004C6971"/>
    <w:rsid w:val="004C7B0E"/>
    <w:rsid w:val="004D053A"/>
    <w:rsid w:val="004D06A7"/>
    <w:rsid w:val="004D105C"/>
    <w:rsid w:val="004D111D"/>
    <w:rsid w:val="004D14F9"/>
    <w:rsid w:val="004D3ADB"/>
    <w:rsid w:val="004D3EB5"/>
    <w:rsid w:val="004D53C0"/>
    <w:rsid w:val="004D5D31"/>
    <w:rsid w:val="004D6CDD"/>
    <w:rsid w:val="004D6CFB"/>
    <w:rsid w:val="004D7430"/>
    <w:rsid w:val="004D7CF5"/>
    <w:rsid w:val="004E05EC"/>
    <w:rsid w:val="004E1450"/>
    <w:rsid w:val="004E267B"/>
    <w:rsid w:val="004E3816"/>
    <w:rsid w:val="004E40BA"/>
    <w:rsid w:val="004E4E56"/>
    <w:rsid w:val="004E714F"/>
    <w:rsid w:val="004E7732"/>
    <w:rsid w:val="004E7B49"/>
    <w:rsid w:val="004E7F35"/>
    <w:rsid w:val="004F01C6"/>
    <w:rsid w:val="004F067B"/>
    <w:rsid w:val="004F2408"/>
    <w:rsid w:val="004F2B00"/>
    <w:rsid w:val="004F2EA4"/>
    <w:rsid w:val="004F2FFA"/>
    <w:rsid w:val="004F4478"/>
    <w:rsid w:val="004F73F5"/>
    <w:rsid w:val="004F77BF"/>
    <w:rsid w:val="00500A9C"/>
    <w:rsid w:val="00502053"/>
    <w:rsid w:val="00502D70"/>
    <w:rsid w:val="00504B4E"/>
    <w:rsid w:val="00504C78"/>
    <w:rsid w:val="00504D14"/>
    <w:rsid w:val="00504F52"/>
    <w:rsid w:val="00505A7C"/>
    <w:rsid w:val="005078C3"/>
    <w:rsid w:val="0050795F"/>
    <w:rsid w:val="0051110B"/>
    <w:rsid w:val="00513AAD"/>
    <w:rsid w:val="00513AE5"/>
    <w:rsid w:val="00513D14"/>
    <w:rsid w:val="0051475B"/>
    <w:rsid w:val="00514A29"/>
    <w:rsid w:val="00514A44"/>
    <w:rsid w:val="00514F09"/>
    <w:rsid w:val="00515258"/>
    <w:rsid w:val="00516E53"/>
    <w:rsid w:val="00520609"/>
    <w:rsid w:val="00525198"/>
    <w:rsid w:val="00525E7B"/>
    <w:rsid w:val="0052723C"/>
    <w:rsid w:val="00527C0E"/>
    <w:rsid w:val="005300EF"/>
    <w:rsid w:val="00532F17"/>
    <w:rsid w:val="00532FE4"/>
    <w:rsid w:val="0053358D"/>
    <w:rsid w:val="00534E51"/>
    <w:rsid w:val="005359CE"/>
    <w:rsid w:val="005370C6"/>
    <w:rsid w:val="00537681"/>
    <w:rsid w:val="00540426"/>
    <w:rsid w:val="0054046E"/>
    <w:rsid w:val="00540BA0"/>
    <w:rsid w:val="00541130"/>
    <w:rsid w:val="0054141F"/>
    <w:rsid w:val="00541480"/>
    <w:rsid w:val="005425AE"/>
    <w:rsid w:val="00542D78"/>
    <w:rsid w:val="00543187"/>
    <w:rsid w:val="00543752"/>
    <w:rsid w:val="005443AF"/>
    <w:rsid w:val="00545B21"/>
    <w:rsid w:val="00545F48"/>
    <w:rsid w:val="005465BE"/>
    <w:rsid w:val="00546A74"/>
    <w:rsid w:val="005475B0"/>
    <w:rsid w:val="005511E4"/>
    <w:rsid w:val="005517B9"/>
    <w:rsid w:val="0055197A"/>
    <w:rsid w:val="00551C05"/>
    <w:rsid w:val="00551F43"/>
    <w:rsid w:val="00551FC2"/>
    <w:rsid w:val="00552B4C"/>
    <w:rsid w:val="0055551A"/>
    <w:rsid w:val="00555740"/>
    <w:rsid w:val="005565E9"/>
    <w:rsid w:val="00556B13"/>
    <w:rsid w:val="00556D9A"/>
    <w:rsid w:val="00557000"/>
    <w:rsid w:val="00557BE7"/>
    <w:rsid w:val="00557BF6"/>
    <w:rsid w:val="00557E87"/>
    <w:rsid w:val="00557F78"/>
    <w:rsid w:val="00560B36"/>
    <w:rsid w:val="0056136C"/>
    <w:rsid w:val="00562465"/>
    <w:rsid w:val="005666C4"/>
    <w:rsid w:val="00566DB0"/>
    <w:rsid w:val="005673D0"/>
    <w:rsid w:val="005701B2"/>
    <w:rsid w:val="00570F16"/>
    <w:rsid w:val="005718FA"/>
    <w:rsid w:val="005719A4"/>
    <w:rsid w:val="00572BC6"/>
    <w:rsid w:val="005730CF"/>
    <w:rsid w:val="005733C6"/>
    <w:rsid w:val="005736AE"/>
    <w:rsid w:val="005762B7"/>
    <w:rsid w:val="0057754A"/>
    <w:rsid w:val="005775DF"/>
    <w:rsid w:val="0057785E"/>
    <w:rsid w:val="00577D73"/>
    <w:rsid w:val="00577D94"/>
    <w:rsid w:val="0058093F"/>
    <w:rsid w:val="00580A00"/>
    <w:rsid w:val="00581194"/>
    <w:rsid w:val="005819A7"/>
    <w:rsid w:val="00582383"/>
    <w:rsid w:val="0058265C"/>
    <w:rsid w:val="005829AA"/>
    <w:rsid w:val="00583092"/>
    <w:rsid w:val="00584219"/>
    <w:rsid w:val="00584A9C"/>
    <w:rsid w:val="0058555C"/>
    <w:rsid w:val="005857F6"/>
    <w:rsid w:val="0058595C"/>
    <w:rsid w:val="00586C61"/>
    <w:rsid w:val="00587207"/>
    <w:rsid w:val="005874A5"/>
    <w:rsid w:val="0058768C"/>
    <w:rsid w:val="00587FB8"/>
    <w:rsid w:val="0059088A"/>
    <w:rsid w:val="00593C95"/>
    <w:rsid w:val="00594F51"/>
    <w:rsid w:val="00597E8D"/>
    <w:rsid w:val="005A003A"/>
    <w:rsid w:val="005A0320"/>
    <w:rsid w:val="005A060A"/>
    <w:rsid w:val="005A0F04"/>
    <w:rsid w:val="005A1692"/>
    <w:rsid w:val="005A1D78"/>
    <w:rsid w:val="005A41DA"/>
    <w:rsid w:val="005A50A0"/>
    <w:rsid w:val="005A729D"/>
    <w:rsid w:val="005A73C9"/>
    <w:rsid w:val="005A76A7"/>
    <w:rsid w:val="005A793C"/>
    <w:rsid w:val="005A7F25"/>
    <w:rsid w:val="005B0635"/>
    <w:rsid w:val="005B18D3"/>
    <w:rsid w:val="005B1A89"/>
    <w:rsid w:val="005B2BC8"/>
    <w:rsid w:val="005B3514"/>
    <w:rsid w:val="005B403E"/>
    <w:rsid w:val="005B46B2"/>
    <w:rsid w:val="005B5A6E"/>
    <w:rsid w:val="005B5E2C"/>
    <w:rsid w:val="005B5E8E"/>
    <w:rsid w:val="005B64D9"/>
    <w:rsid w:val="005B69E0"/>
    <w:rsid w:val="005B6FE4"/>
    <w:rsid w:val="005B737E"/>
    <w:rsid w:val="005B7778"/>
    <w:rsid w:val="005C057F"/>
    <w:rsid w:val="005C227D"/>
    <w:rsid w:val="005C28AC"/>
    <w:rsid w:val="005C308A"/>
    <w:rsid w:val="005C59FD"/>
    <w:rsid w:val="005C5FBD"/>
    <w:rsid w:val="005C7B5A"/>
    <w:rsid w:val="005D0994"/>
    <w:rsid w:val="005D1AA3"/>
    <w:rsid w:val="005D37DE"/>
    <w:rsid w:val="005D3F5E"/>
    <w:rsid w:val="005D427B"/>
    <w:rsid w:val="005D4384"/>
    <w:rsid w:val="005D5571"/>
    <w:rsid w:val="005D5B40"/>
    <w:rsid w:val="005D6723"/>
    <w:rsid w:val="005D7307"/>
    <w:rsid w:val="005D7F6B"/>
    <w:rsid w:val="005E11F5"/>
    <w:rsid w:val="005E259A"/>
    <w:rsid w:val="005E3A0E"/>
    <w:rsid w:val="005E4327"/>
    <w:rsid w:val="005E4678"/>
    <w:rsid w:val="005E74A8"/>
    <w:rsid w:val="005E7723"/>
    <w:rsid w:val="005E7890"/>
    <w:rsid w:val="005E79B9"/>
    <w:rsid w:val="005F0927"/>
    <w:rsid w:val="005F0B34"/>
    <w:rsid w:val="005F0CAE"/>
    <w:rsid w:val="005F114B"/>
    <w:rsid w:val="005F14DB"/>
    <w:rsid w:val="005F2BA2"/>
    <w:rsid w:val="005F3EAE"/>
    <w:rsid w:val="005F4918"/>
    <w:rsid w:val="005F4950"/>
    <w:rsid w:val="005F499D"/>
    <w:rsid w:val="005F4AA7"/>
    <w:rsid w:val="005F4B72"/>
    <w:rsid w:val="005F4E59"/>
    <w:rsid w:val="005F4EFA"/>
    <w:rsid w:val="005F5F25"/>
    <w:rsid w:val="005F6AAB"/>
    <w:rsid w:val="005F757E"/>
    <w:rsid w:val="005F7AA2"/>
    <w:rsid w:val="006006EF"/>
    <w:rsid w:val="00601FB9"/>
    <w:rsid w:val="00602461"/>
    <w:rsid w:val="006033BF"/>
    <w:rsid w:val="00603503"/>
    <w:rsid w:val="00603680"/>
    <w:rsid w:val="006040A4"/>
    <w:rsid w:val="0060557C"/>
    <w:rsid w:val="00605D03"/>
    <w:rsid w:val="00605D66"/>
    <w:rsid w:val="00606088"/>
    <w:rsid w:val="0060666A"/>
    <w:rsid w:val="00611D1D"/>
    <w:rsid w:val="0061265A"/>
    <w:rsid w:val="00612802"/>
    <w:rsid w:val="00612DB6"/>
    <w:rsid w:val="0061412F"/>
    <w:rsid w:val="00614CDD"/>
    <w:rsid w:val="006151E2"/>
    <w:rsid w:val="00617990"/>
    <w:rsid w:val="00617B38"/>
    <w:rsid w:val="0062114E"/>
    <w:rsid w:val="00621203"/>
    <w:rsid w:val="00621514"/>
    <w:rsid w:val="0062183A"/>
    <w:rsid w:val="00623124"/>
    <w:rsid w:val="0062383F"/>
    <w:rsid w:val="00623E3E"/>
    <w:rsid w:val="00623EAB"/>
    <w:rsid w:val="006242DD"/>
    <w:rsid w:val="006255D5"/>
    <w:rsid w:val="00626307"/>
    <w:rsid w:val="006265B3"/>
    <w:rsid w:val="00631193"/>
    <w:rsid w:val="00631265"/>
    <w:rsid w:val="00631EDF"/>
    <w:rsid w:val="0063202C"/>
    <w:rsid w:val="00633186"/>
    <w:rsid w:val="006337E9"/>
    <w:rsid w:val="00633EE7"/>
    <w:rsid w:val="006344E6"/>
    <w:rsid w:val="00634BB7"/>
    <w:rsid w:val="00634BCB"/>
    <w:rsid w:val="00634F65"/>
    <w:rsid w:val="006352CC"/>
    <w:rsid w:val="0063572B"/>
    <w:rsid w:val="0063616F"/>
    <w:rsid w:val="00636B37"/>
    <w:rsid w:val="00637367"/>
    <w:rsid w:val="006373D8"/>
    <w:rsid w:val="0063753E"/>
    <w:rsid w:val="00637F8C"/>
    <w:rsid w:val="00640013"/>
    <w:rsid w:val="00640114"/>
    <w:rsid w:val="0064047B"/>
    <w:rsid w:val="00640665"/>
    <w:rsid w:val="00640704"/>
    <w:rsid w:val="00641DC3"/>
    <w:rsid w:val="00643AB7"/>
    <w:rsid w:val="00644BF0"/>
    <w:rsid w:val="00644CFD"/>
    <w:rsid w:val="00645353"/>
    <w:rsid w:val="006507A9"/>
    <w:rsid w:val="00650BE8"/>
    <w:rsid w:val="006534E2"/>
    <w:rsid w:val="00653BBC"/>
    <w:rsid w:val="00653E64"/>
    <w:rsid w:val="00654643"/>
    <w:rsid w:val="00654874"/>
    <w:rsid w:val="006554FB"/>
    <w:rsid w:val="006558FF"/>
    <w:rsid w:val="00655C9F"/>
    <w:rsid w:val="00656433"/>
    <w:rsid w:val="00656D33"/>
    <w:rsid w:val="00657EEE"/>
    <w:rsid w:val="006618CA"/>
    <w:rsid w:val="006624E9"/>
    <w:rsid w:val="006629B7"/>
    <w:rsid w:val="0066337A"/>
    <w:rsid w:val="006635B8"/>
    <w:rsid w:val="00663A19"/>
    <w:rsid w:val="00663BA8"/>
    <w:rsid w:val="006643D7"/>
    <w:rsid w:val="00664B8F"/>
    <w:rsid w:val="0066562F"/>
    <w:rsid w:val="00665699"/>
    <w:rsid w:val="00666326"/>
    <w:rsid w:val="00666B72"/>
    <w:rsid w:val="00667149"/>
    <w:rsid w:val="00667DA2"/>
    <w:rsid w:val="00670763"/>
    <w:rsid w:val="00670B72"/>
    <w:rsid w:val="0067114C"/>
    <w:rsid w:val="006711DD"/>
    <w:rsid w:val="00671C14"/>
    <w:rsid w:val="00672E84"/>
    <w:rsid w:val="0067303B"/>
    <w:rsid w:val="006745AB"/>
    <w:rsid w:val="00674FC4"/>
    <w:rsid w:val="00675EC4"/>
    <w:rsid w:val="00675F56"/>
    <w:rsid w:val="00676346"/>
    <w:rsid w:val="00676F56"/>
    <w:rsid w:val="0067784B"/>
    <w:rsid w:val="006803CC"/>
    <w:rsid w:val="006804FE"/>
    <w:rsid w:val="0068068E"/>
    <w:rsid w:val="006809C4"/>
    <w:rsid w:val="00682213"/>
    <w:rsid w:val="0068236C"/>
    <w:rsid w:val="00682AF7"/>
    <w:rsid w:val="00682BDB"/>
    <w:rsid w:val="0068375E"/>
    <w:rsid w:val="006839E1"/>
    <w:rsid w:val="00683F82"/>
    <w:rsid w:val="00684527"/>
    <w:rsid w:val="0068488F"/>
    <w:rsid w:val="006856FE"/>
    <w:rsid w:val="00686462"/>
    <w:rsid w:val="00686465"/>
    <w:rsid w:val="00686709"/>
    <w:rsid w:val="0068727A"/>
    <w:rsid w:val="00687B32"/>
    <w:rsid w:val="00691754"/>
    <w:rsid w:val="00691C29"/>
    <w:rsid w:val="00692701"/>
    <w:rsid w:val="006931BE"/>
    <w:rsid w:val="006936FB"/>
    <w:rsid w:val="00695028"/>
    <w:rsid w:val="00695BFD"/>
    <w:rsid w:val="00695E48"/>
    <w:rsid w:val="00696274"/>
    <w:rsid w:val="00697048"/>
    <w:rsid w:val="00697136"/>
    <w:rsid w:val="006975FD"/>
    <w:rsid w:val="006A0620"/>
    <w:rsid w:val="006A0E3F"/>
    <w:rsid w:val="006A2766"/>
    <w:rsid w:val="006A2D1D"/>
    <w:rsid w:val="006A4B32"/>
    <w:rsid w:val="006A50BE"/>
    <w:rsid w:val="006A566F"/>
    <w:rsid w:val="006A597F"/>
    <w:rsid w:val="006A7132"/>
    <w:rsid w:val="006A73F6"/>
    <w:rsid w:val="006A7A9D"/>
    <w:rsid w:val="006B00BD"/>
    <w:rsid w:val="006B0484"/>
    <w:rsid w:val="006B0991"/>
    <w:rsid w:val="006B0A2D"/>
    <w:rsid w:val="006B133E"/>
    <w:rsid w:val="006B199D"/>
    <w:rsid w:val="006B1A34"/>
    <w:rsid w:val="006B2CB7"/>
    <w:rsid w:val="006B4680"/>
    <w:rsid w:val="006B4990"/>
    <w:rsid w:val="006B75A3"/>
    <w:rsid w:val="006B7F73"/>
    <w:rsid w:val="006C15D7"/>
    <w:rsid w:val="006C1975"/>
    <w:rsid w:val="006C24E1"/>
    <w:rsid w:val="006C38E4"/>
    <w:rsid w:val="006C49C4"/>
    <w:rsid w:val="006C69EF"/>
    <w:rsid w:val="006C6A38"/>
    <w:rsid w:val="006C7A63"/>
    <w:rsid w:val="006D02CA"/>
    <w:rsid w:val="006D0934"/>
    <w:rsid w:val="006D0B56"/>
    <w:rsid w:val="006D1BB3"/>
    <w:rsid w:val="006D2687"/>
    <w:rsid w:val="006D2EF8"/>
    <w:rsid w:val="006D437B"/>
    <w:rsid w:val="006D4558"/>
    <w:rsid w:val="006D480A"/>
    <w:rsid w:val="006D5C4B"/>
    <w:rsid w:val="006D5F73"/>
    <w:rsid w:val="006D5FE4"/>
    <w:rsid w:val="006D652B"/>
    <w:rsid w:val="006D6A81"/>
    <w:rsid w:val="006D6BE9"/>
    <w:rsid w:val="006E06F2"/>
    <w:rsid w:val="006E1284"/>
    <w:rsid w:val="006E24E9"/>
    <w:rsid w:val="006E2754"/>
    <w:rsid w:val="006E313B"/>
    <w:rsid w:val="006E3656"/>
    <w:rsid w:val="006E39B9"/>
    <w:rsid w:val="006E3CBD"/>
    <w:rsid w:val="006E3D31"/>
    <w:rsid w:val="006E45EA"/>
    <w:rsid w:val="006E4C2A"/>
    <w:rsid w:val="006E5882"/>
    <w:rsid w:val="006E640F"/>
    <w:rsid w:val="006F115A"/>
    <w:rsid w:val="006F11C1"/>
    <w:rsid w:val="006F24D0"/>
    <w:rsid w:val="006F2D5D"/>
    <w:rsid w:val="006F346A"/>
    <w:rsid w:val="006F3934"/>
    <w:rsid w:val="006F3E8C"/>
    <w:rsid w:val="006F465D"/>
    <w:rsid w:val="006F50A2"/>
    <w:rsid w:val="006F5BAD"/>
    <w:rsid w:val="006F64C7"/>
    <w:rsid w:val="00700DAD"/>
    <w:rsid w:val="00702063"/>
    <w:rsid w:val="00704A6F"/>
    <w:rsid w:val="00706600"/>
    <w:rsid w:val="00706E1C"/>
    <w:rsid w:val="00712BC6"/>
    <w:rsid w:val="0071315B"/>
    <w:rsid w:val="0071324C"/>
    <w:rsid w:val="007133F1"/>
    <w:rsid w:val="00714570"/>
    <w:rsid w:val="007146BA"/>
    <w:rsid w:val="0071479C"/>
    <w:rsid w:val="007147A0"/>
    <w:rsid w:val="007153D4"/>
    <w:rsid w:val="0071762C"/>
    <w:rsid w:val="00717668"/>
    <w:rsid w:val="0072012A"/>
    <w:rsid w:val="00720802"/>
    <w:rsid w:val="00720C8D"/>
    <w:rsid w:val="0072106B"/>
    <w:rsid w:val="007224C7"/>
    <w:rsid w:val="00723C65"/>
    <w:rsid w:val="007249DC"/>
    <w:rsid w:val="00724BCA"/>
    <w:rsid w:val="00726DDA"/>
    <w:rsid w:val="00726F6E"/>
    <w:rsid w:val="00727FE2"/>
    <w:rsid w:val="00730601"/>
    <w:rsid w:val="007340A9"/>
    <w:rsid w:val="007353BA"/>
    <w:rsid w:val="00736648"/>
    <w:rsid w:val="00736A56"/>
    <w:rsid w:val="00736D3A"/>
    <w:rsid w:val="00737099"/>
    <w:rsid w:val="00737C48"/>
    <w:rsid w:val="007402F9"/>
    <w:rsid w:val="007408D5"/>
    <w:rsid w:val="007418CD"/>
    <w:rsid w:val="007420C5"/>
    <w:rsid w:val="00742E25"/>
    <w:rsid w:val="007433CB"/>
    <w:rsid w:val="0074391D"/>
    <w:rsid w:val="0074480F"/>
    <w:rsid w:val="00744A05"/>
    <w:rsid w:val="00745DA8"/>
    <w:rsid w:val="007462EC"/>
    <w:rsid w:val="007469EE"/>
    <w:rsid w:val="0074717E"/>
    <w:rsid w:val="0075044C"/>
    <w:rsid w:val="00750A13"/>
    <w:rsid w:val="00750C6F"/>
    <w:rsid w:val="00751017"/>
    <w:rsid w:val="00751BBF"/>
    <w:rsid w:val="007527BD"/>
    <w:rsid w:val="007549C9"/>
    <w:rsid w:val="00755021"/>
    <w:rsid w:val="00756B2A"/>
    <w:rsid w:val="00756BAF"/>
    <w:rsid w:val="007575A7"/>
    <w:rsid w:val="00757C24"/>
    <w:rsid w:val="00760805"/>
    <w:rsid w:val="0076090A"/>
    <w:rsid w:val="007612DD"/>
    <w:rsid w:val="00761993"/>
    <w:rsid w:val="00763355"/>
    <w:rsid w:val="00763CAA"/>
    <w:rsid w:val="00763E20"/>
    <w:rsid w:val="0076472D"/>
    <w:rsid w:val="00764BC5"/>
    <w:rsid w:val="00764D72"/>
    <w:rsid w:val="00764E96"/>
    <w:rsid w:val="0076557D"/>
    <w:rsid w:val="007669A1"/>
    <w:rsid w:val="0076705C"/>
    <w:rsid w:val="007678C3"/>
    <w:rsid w:val="007720DA"/>
    <w:rsid w:val="007726C8"/>
    <w:rsid w:val="00772B88"/>
    <w:rsid w:val="007731FC"/>
    <w:rsid w:val="00773492"/>
    <w:rsid w:val="007734C9"/>
    <w:rsid w:val="00774594"/>
    <w:rsid w:val="00774C31"/>
    <w:rsid w:val="007763C1"/>
    <w:rsid w:val="00776629"/>
    <w:rsid w:val="00776D42"/>
    <w:rsid w:val="00776E8C"/>
    <w:rsid w:val="00777107"/>
    <w:rsid w:val="00777184"/>
    <w:rsid w:val="007822BE"/>
    <w:rsid w:val="00783BBE"/>
    <w:rsid w:val="00784ADD"/>
    <w:rsid w:val="00784B8C"/>
    <w:rsid w:val="007866ED"/>
    <w:rsid w:val="00787024"/>
    <w:rsid w:val="00787205"/>
    <w:rsid w:val="00790093"/>
    <w:rsid w:val="007902DA"/>
    <w:rsid w:val="00790D09"/>
    <w:rsid w:val="007915D7"/>
    <w:rsid w:val="0079191F"/>
    <w:rsid w:val="00793A0A"/>
    <w:rsid w:val="00793B17"/>
    <w:rsid w:val="00794231"/>
    <w:rsid w:val="00795A23"/>
    <w:rsid w:val="00795DA6"/>
    <w:rsid w:val="00795DA9"/>
    <w:rsid w:val="00795F31"/>
    <w:rsid w:val="007967B3"/>
    <w:rsid w:val="007972C6"/>
    <w:rsid w:val="007974DF"/>
    <w:rsid w:val="007A042C"/>
    <w:rsid w:val="007A1398"/>
    <w:rsid w:val="007A145C"/>
    <w:rsid w:val="007A19A1"/>
    <w:rsid w:val="007A21DF"/>
    <w:rsid w:val="007A248B"/>
    <w:rsid w:val="007A2B1E"/>
    <w:rsid w:val="007A2CD5"/>
    <w:rsid w:val="007A3161"/>
    <w:rsid w:val="007A3B51"/>
    <w:rsid w:val="007A3B55"/>
    <w:rsid w:val="007A49FC"/>
    <w:rsid w:val="007A50D7"/>
    <w:rsid w:val="007A5F57"/>
    <w:rsid w:val="007A6855"/>
    <w:rsid w:val="007A6D3D"/>
    <w:rsid w:val="007A6FC4"/>
    <w:rsid w:val="007A78A1"/>
    <w:rsid w:val="007A796E"/>
    <w:rsid w:val="007A7D80"/>
    <w:rsid w:val="007B024E"/>
    <w:rsid w:val="007B072C"/>
    <w:rsid w:val="007B18DF"/>
    <w:rsid w:val="007B2670"/>
    <w:rsid w:val="007B2837"/>
    <w:rsid w:val="007B2BC6"/>
    <w:rsid w:val="007B30F7"/>
    <w:rsid w:val="007B41E5"/>
    <w:rsid w:val="007B4574"/>
    <w:rsid w:val="007B5B95"/>
    <w:rsid w:val="007B70B0"/>
    <w:rsid w:val="007B7928"/>
    <w:rsid w:val="007B7EEE"/>
    <w:rsid w:val="007C0273"/>
    <w:rsid w:val="007C0A1C"/>
    <w:rsid w:val="007C1054"/>
    <w:rsid w:val="007C1439"/>
    <w:rsid w:val="007C17A1"/>
    <w:rsid w:val="007C1B5D"/>
    <w:rsid w:val="007C1FFC"/>
    <w:rsid w:val="007C3034"/>
    <w:rsid w:val="007C3169"/>
    <w:rsid w:val="007C394B"/>
    <w:rsid w:val="007C3FA7"/>
    <w:rsid w:val="007C44AD"/>
    <w:rsid w:val="007C627E"/>
    <w:rsid w:val="007C693E"/>
    <w:rsid w:val="007C73E9"/>
    <w:rsid w:val="007C7D72"/>
    <w:rsid w:val="007D04B7"/>
    <w:rsid w:val="007D1C2D"/>
    <w:rsid w:val="007D247C"/>
    <w:rsid w:val="007D303F"/>
    <w:rsid w:val="007D3D6C"/>
    <w:rsid w:val="007D5504"/>
    <w:rsid w:val="007E094B"/>
    <w:rsid w:val="007E1428"/>
    <w:rsid w:val="007E3BB7"/>
    <w:rsid w:val="007E4832"/>
    <w:rsid w:val="007E4C29"/>
    <w:rsid w:val="007E5DDF"/>
    <w:rsid w:val="007E7444"/>
    <w:rsid w:val="007E76FB"/>
    <w:rsid w:val="007F1A9B"/>
    <w:rsid w:val="007F2244"/>
    <w:rsid w:val="007F3476"/>
    <w:rsid w:val="007F3F3D"/>
    <w:rsid w:val="007F4FE2"/>
    <w:rsid w:val="007F500D"/>
    <w:rsid w:val="007F66B6"/>
    <w:rsid w:val="007F6AE9"/>
    <w:rsid w:val="007F6AF4"/>
    <w:rsid w:val="007F7521"/>
    <w:rsid w:val="007F762C"/>
    <w:rsid w:val="007F77DE"/>
    <w:rsid w:val="0080150E"/>
    <w:rsid w:val="00801C48"/>
    <w:rsid w:val="0080225C"/>
    <w:rsid w:val="00802E2C"/>
    <w:rsid w:val="00802E54"/>
    <w:rsid w:val="008035B9"/>
    <w:rsid w:val="008035FD"/>
    <w:rsid w:val="008048F6"/>
    <w:rsid w:val="00805A16"/>
    <w:rsid w:val="00807633"/>
    <w:rsid w:val="00810DB8"/>
    <w:rsid w:val="00811FE0"/>
    <w:rsid w:val="00814B2D"/>
    <w:rsid w:val="00814B6D"/>
    <w:rsid w:val="008150F9"/>
    <w:rsid w:val="00815766"/>
    <w:rsid w:val="00816445"/>
    <w:rsid w:val="00817BC8"/>
    <w:rsid w:val="00817FA8"/>
    <w:rsid w:val="00822849"/>
    <w:rsid w:val="008243CA"/>
    <w:rsid w:val="008272CD"/>
    <w:rsid w:val="00827591"/>
    <w:rsid w:val="00827BA5"/>
    <w:rsid w:val="00832E3A"/>
    <w:rsid w:val="0083312C"/>
    <w:rsid w:val="00835117"/>
    <w:rsid w:val="00835421"/>
    <w:rsid w:val="008369AC"/>
    <w:rsid w:val="0084038F"/>
    <w:rsid w:val="008419CD"/>
    <w:rsid w:val="00842F11"/>
    <w:rsid w:val="00843345"/>
    <w:rsid w:val="00846DD6"/>
    <w:rsid w:val="00847784"/>
    <w:rsid w:val="00847DA2"/>
    <w:rsid w:val="00851171"/>
    <w:rsid w:val="008532AC"/>
    <w:rsid w:val="00853DB6"/>
    <w:rsid w:val="00853ED7"/>
    <w:rsid w:val="0085494B"/>
    <w:rsid w:val="00854DE4"/>
    <w:rsid w:val="008561E8"/>
    <w:rsid w:val="008572E8"/>
    <w:rsid w:val="0085734B"/>
    <w:rsid w:val="0085764C"/>
    <w:rsid w:val="00857EB1"/>
    <w:rsid w:val="008605E8"/>
    <w:rsid w:val="00860F1F"/>
    <w:rsid w:val="008612C8"/>
    <w:rsid w:val="0086155B"/>
    <w:rsid w:val="00862A71"/>
    <w:rsid w:val="00865172"/>
    <w:rsid w:val="00865FC4"/>
    <w:rsid w:val="00866354"/>
    <w:rsid w:val="00866B13"/>
    <w:rsid w:val="00870A0C"/>
    <w:rsid w:val="00871F1F"/>
    <w:rsid w:val="008727A1"/>
    <w:rsid w:val="008745FB"/>
    <w:rsid w:val="00874CC4"/>
    <w:rsid w:val="0087543C"/>
    <w:rsid w:val="008759D2"/>
    <w:rsid w:val="00875AFF"/>
    <w:rsid w:val="00875E22"/>
    <w:rsid w:val="0087671F"/>
    <w:rsid w:val="008772A8"/>
    <w:rsid w:val="00877361"/>
    <w:rsid w:val="0088151A"/>
    <w:rsid w:val="00881DF4"/>
    <w:rsid w:val="00882001"/>
    <w:rsid w:val="00882201"/>
    <w:rsid w:val="00882D5F"/>
    <w:rsid w:val="00883B79"/>
    <w:rsid w:val="00884E34"/>
    <w:rsid w:val="00885B63"/>
    <w:rsid w:val="00887451"/>
    <w:rsid w:val="00887723"/>
    <w:rsid w:val="00890ECA"/>
    <w:rsid w:val="00894447"/>
    <w:rsid w:val="0089561C"/>
    <w:rsid w:val="00896A83"/>
    <w:rsid w:val="00897290"/>
    <w:rsid w:val="00897B41"/>
    <w:rsid w:val="008A0235"/>
    <w:rsid w:val="008A143A"/>
    <w:rsid w:val="008A2F0A"/>
    <w:rsid w:val="008A3869"/>
    <w:rsid w:val="008A4B0C"/>
    <w:rsid w:val="008A5050"/>
    <w:rsid w:val="008A7D3F"/>
    <w:rsid w:val="008B1184"/>
    <w:rsid w:val="008B1547"/>
    <w:rsid w:val="008B24BE"/>
    <w:rsid w:val="008B2741"/>
    <w:rsid w:val="008B3117"/>
    <w:rsid w:val="008B36EA"/>
    <w:rsid w:val="008B472E"/>
    <w:rsid w:val="008B58DF"/>
    <w:rsid w:val="008B6AFD"/>
    <w:rsid w:val="008B6DAC"/>
    <w:rsid w:val="008B6EBF"/>
    <w:rsid w:val="008C0D77"/>
    <w:rsid w:val="008C10A7"/>
    <w:rsid w:val="008C2675"/>
    <w:rsid w:val="008C2B29"/>
    <w:rsid w:val="008C3480"/>
    <w:rsid w:val="008C42C7"/>
    <w:rsid w:val="008C47DC"/>
    <w:rsid w:val="008C49C7"/>
    <w:rsid w:val="008C5757"/>
    <w:rsid w:val="008C6350"/>
    <w:rsid w:val="008C7625"/>
    <w:rsid w:val="008C7EA7"/>
    <w:rsid w:val="008D0C76"/>
    <w:rsid w:val="008D243B"/>
    <w:rsid w:val="008D244F"/>
    <w:rsid w:val="008D5864"/>
    <w:rsid w:val="008D5F42"/>
    <w:rsid w:val="008D6546"/>
    <w:rsid w:val="008D7D44"/>
    <w:rsid w:val="008E129C"/>
    <w:rsid w:val="008E1654"/>
    <w:rsid w:val="008E2975"/>
    <w:rsid w:val="008E3954"/>
    <w:rsid w:val="008E41BA"/>
    <w:rsid w:val="008E4985"/>
    <w:rsid w:val="008E4FF8"/>
    <w:rsid w:val="008E5E33"/>
    <w:rsid w:val="008E655D"/>
    <w:rsid w:val="008E702F"/>
    <w:rsid w:val="008E744F"/>
    <w:rsid w:val="008F04E5"/>
    <w:rsid w:val="008F0DDE"/>
    <w:rsid w:val="008F253D"/>
    <w:rsid w:val="008F25BD"/>
    <w:rsid w:val="008F2864"/>
    <w:rsid w:val="008F373D"/>
    <w:rsid w:val="008F4D47"/>
    <w:rsid w:val="008F5044"/>
    <w:rsid w:val="008F750A"/>
    <w:rsid w:val="009002A3"/>
    <w:rsid w:val="00900D83"/>
    <w:rsid w:val="00900F1F"/>
    <w:rsid w:val="00902927"/>
    <w:rsid w:val="00902B86"/>
    <w:rsid w:val="00903224"/>
    <w:rsid w:val="0090333F"/>
    <w:rsid w:val="009037EE"/>
    <w:rsid w:val="00904D48"/>
    <w:rsid w:val="00904E4C"/>
    <w:rsid w:val="0090588E"/>
    <w:rsid w:val="009069D9"/>
    <w:rsid w:val="00906CA9"/>
    <w:rsid w:val="00906E44"/>
    <w:rsid w:val="00907952"/>
    <w:rsid w:val="00910BAD"/>
    <w:rsid w:val="00911D2D"/>
    <w:rsid w:val="009125A9"/>
    <w:rsid w:val="009144C0"/>
    <w:rsid w:val="00914573"/>
    <w:rsid w:val="00914D47"/>
    <w:rsid w:val="00914F5E"/>
    <w:rsid w:val="00915081"/>
    <w:rsid w:val="00915702"/>
    <w:rsid w:val="009157A4"/>
    <w:rsid w:val="00915F82"/>
    <w:rsid w:val="0091705D"/>
    <w:rsid w:val="009200F4"/>
    <w:rsid w:val="0092030E"/>
    <w:rsid w:val="00920613"/>
    <w:rsid w:val="00920F44"/>
    <w:rsid w:val="009233E2"/>
    <w:rsid w:val="00923920"/>
    <w:rsid w:val="00924266"/>
    <w:rsid w:val="00924BD5"/>
    <w:rsid w:val="009251D0"/>
    <w:rsid w:val="00925F8C"/>
    <w:rsid w:val="009277A8"/>
    <w:rsid w:val="00927FCE"/>
    <w:rsid w:val="009304C8"/>
    <w:rsid w:val="009314C7"/>
    <w:rsid w:val="00931798"/>
    <w:rsid w:val="009321EF"/>
    <w:rsid w:val="009322ED"/>
    <w:rsid w:val="00932CFC"/>
    <w:rsid w:val="0093346D"/>
    <w:rsid w:val="00934C27"/>
    <w:rsid w:val="009351BC"/>
    <w:rsid w:val="00935BB4"/>
    <w:rsid w:val="00940108"/>
    <w:rsid w:val="00941262"/>
    <w:rsid w:val="0094173C"/>
    <w:rsid w:val="009418A5"/>
    <w:rsid w:val="00942445"/>
    <w:rsid w:val="009426B7"/>
    <w:rsid w:val="00942DF2"/>
    <w:rsid w:val="00942F6B"/>
    <w:rsid w:val="00943046"/>
    <w:rsid w:val="0094407B"/>
    <w:rsid w:val="00944BBB"/>
    <w:rsid w:val="00944FA6"/>
    <w:rsid w:val="0094550C"/>
    <w:rsid w:val="00945A40"/>
    <w:rsid w:val="00945DDF"/>
    <w:rsid w:val="00946AFF"/>
    <w:rsid w:val="009470A1"/>
    <w:rsid w:val="00950B5D"/>
    <w:rsid w:val="00951184"/>
    <w:rsid w:val="00951F9B"/>
    <w:rsid w:val="00953948"/>
    <w:rsid w:val="009557EA"/>
    <w:rsid w:val="00955C73"/>
    <w:rsid w:val="00955F52"/>
    <w:rsid w:val="009573C3"/>
    <w:rsid w:val="00957A68"/>
    <w:rsid w:val="009600FF"/>
    <w:rsid w:val="00960454"/>
    <w:rsid w:val="009611AB"/>
    <w:rsid w:val="00961DD8"/>
    <w:rsid w:val="0096249D"/>
    <w:rsid w:val="0096332C"/>
    <w:rsid w:val="00964000"/>
    <w:rsid w:val="009640D2"/>
    <w:rsid w:val="0096496D"/>
    <w:rsid w:val="00964E20"/>
    <w:rsid w:val="009652D6"/>
    <w:rsid w:val="00965FBB"/>
    <w:rsid w:val="00966B06"/>
    <w:rsid w:val="009711E9"/>
    <w:rsid w:val="00971335"/>
    <w:rsid w:val="0097188B"/>
    <w:rsid w:val="00972E3A"/>
    <w:rsid w:val="00973B2C"/>
    <w:rsid w:val="0097411B"/>
    <w:rsid w:val="00974413"/>
    <w:rsid w:val="009755D5"/>
    <w:rsid w:val="00975A24"/>
    <w:rsid w:val="00977711"/>
    <w:rsid w:val="0098056F"/>
    <w:rsid w:val="00981050"/>
    <w:rsid w:val="0098172F"/>
    <w:rsid w:val="00981886"/>
    <w:rsid w:val="00981FE1"/>
    <w:rsid w:val="00982653"/>
    <w:rsid w:val="00982922"/>
    <w:rsid w:val="00983564"/>
    <w:rsid w:val="0098437E"/>
    <w:rsid w:val="00985517"/>
    <w:rsid w:val="0098739F"/>
    <w:rsid w:val="00987B33"/>
    <w:rsid w:val="00990808"/>
    <w:rsid w:val="009908B7"/>
    <w:rsid w:val="00990B25"/>
    <w:rsid w:val="0099389C"/>
    <w:rsid w:val="00993BFE"/>
    <w:rsid w:val="0099478F"/>
    <w:rsid w:val="009965A9"/>
    <w:rsid w:val="009A04D9"/>
    <w:rsid w:val="009A0C30"/>
    <w:rsid w:val="009A0DCC"/>
    <w:rsid w:val="009A1979"/>
    <w:rsid w:val="009A1EB9"/>
    <w:rsid w:val="009A2063"/>
    <w:rsid w:val="009A254C"/>
    <w:rsid w:val="009A2865"/>
    <w:rsid w:val="009A29E0"/>
    <w:rsid w:val="009A2C5B"/>
    <w:rsid w:val="009A311D"/>
    <w:rsid w:val="009A5A87"/>
    <w:rsid w:val="009A66E7"/>
    <w:rsid w:val="009A7B67"/>
    <w:rsid w:val="009B0248"/>
    <w:rsid w:val="009B0E42"/>
    <w:rsid w:val="009B17CF"/>
    <w:rsid w:val="009B1995"/>
    <w:rsid w:val="009B2D5C"/>
    <w:rsid w:val="009B44EA"/>
    <w:rsid w:val="009B4C4C"/>
    <w:rsid w:val="009B4EBD"/>
    <w:rsid w:val="009B632B"/>
    <w:rsid w:val="009B7EFE"/>
    <w:rsid w:val="009B7FA8"/>
    <w:rsid w:val="009C0963"/>
    <w:rsid w:val="009C316E"/>
    <w:rsid w:val="009C3E9F"/>
    <w:rsid w:val="009C4258"/>
    <w:rsid w:val="009C61FB"/>
    <w:rsid w:val="009C62B6"/>
    <w:rsid w:val="009C6336"/>
    <w:rsid w:val="009C6570"/>
    <w:rsid w:val="009C7D88"/>
    <w:rsid w:val="009C7E1D"/>
    <w:rsid w:val="009D2763"/>
    <w:rsid w:val="009D2B00"/>
    <w:rsid w:val="009D3E62"/>
    <w:rsid w:val="009D56AA"/>
    <w:rsid w:val="009D5EA3"/>
    <w:rsid w:val="009D72D8"/>
    <w:rsid w:val="009E0150"/>
    <w:rsid w:val="009E03A5"/>
    <w:rsid w:val="009E062E"/>
    <w:rsid w:val="009E160B"/>
    <w:rsid w:val="009E1D45"/>
    <w:rsid w:val="009E2178"/>
    <w:rsid w:val="009E2A7A"/>
    <w:rsid w:val="009E3052"/>
    <w:rsid w:val="009E35D8"/>
    <w:rsid w:val="009E37AC"/>
    <w:rsid w:val="009F04BE"/>
    <w:rsid w:val="009F0656"/>
    <w:rsid w:val="009F1A9E"/>
    <w:rsid w:val="009F1B63"/>
    <w:rsid w:val="009F1E1F"/>
    <w:rsid w:val="009F3181"/>
    <w:rsid w:val="009F464C"/>
    <w:rsid w:val="009F5DDE"/>
    <w:rsid w:val="009F6009"/>
    <w:rsid w:val="009F64BE"/>
    <w:rsid w:val="00A0096D"/>
    <w:rsid w:val="00A0187E"/>
    <w:rsid w:val="00A02D49"/>
    <w:rsid w:val="00A02EC7"/>
    <w:rsid w:val="00A04763"/>
    <w:rsid w:val="00A067DF"/>
    <w:rsid w:val="00A070E4"/>
    <w:rsid w:val="00A070F2"/>
    <w:rsid w:val="00A10329"/>
    <w:rsid w:val="00A10463"/>
    <w:rsid w:val="00A1118F"/>
    <w:rsid w:val="00A11CBA"/>
    <w:rsid w:val="00A1317B"/>
    <w:rsid w:val="00A1317C"/>
    <w:rsid w:val="00A13741"/>
    <w:rsid w:val="00A138F0"/>
    <w:rsid w:val="00A139C1"/>
    <w:rsid w:val="00A144EE"/>
    <w:rsid w:val="00A148A4"/>
    <w:rsid w:val="00A14B64"/>
    <w:rsid w:val="00A15D66"/>
    <w:rsid w:val="00A16341"/>
    <w:rsid w:val="00A16B2E"/>
    <w:rsid w:val="00A16F20"/>
    <w:rsid w:val="00A1744A"/>
    <w:rsid w:val="00A20742"/>
    <w:rsid w:val="00A20EB5"/>
    <w:rsid w:val="00A219E8"/>
    <w:rsid w:val="00A21A5A"/>
    <w:rsid w:val="00A23C11"/>
    <w:rsid w:val="00A24218"/>
    <w:rsid w:val="00A2487C"/>
    <w:rsid w:val="00A2545D"/>
    <w:rsid w:val="00A258A9"/>
    <w:rsid w:val="00A26596"/>
    <w:rsid w:val="00A265FC"/>
    <w:rsid w:val="00A26847"/>
    <w:rsid w:val="00A31494"/>
    <w:rsid w:val="00A3157B"/>
    <w:rsid w:val="00A32192"/>
    <w:rsid w:val="00A322B9"/>
    <w:rsid w:val="00A326EB"/>
    <w:rsid w:val="00A331AF"/>
    <w:rsid w:val="00A35927"/>
    <w:rsid w:val="00A3655D"/>
    <w:rsid w:val="00A36964"/>
    <w:rsid w:val="00A40AF0"/>
    <w:rsid w:val="00A44753"/>
    <w:rsid w:val="00A457C5"/>
    <w:rsid w:val="00A45933"/>
    <w:rsid w:val="00A45955"/>
    <w:rsid w:val="00A45B3F"/>
    <w:rsid w:val="00A45FA8"/>
    <w:rsid w:val="00A467F3"/>
    <w:rsid w:val="00A46D10"/>
    <w:rsid w:val="00A5027B"/>
    <w:rsid w:val="00A50397"/>
    <w:rsid w:val="00A505ED"/>
    <w:rsid w:val="00A50EAC"/>
    <w:rsid w:val="00A51805"/>
    <w:rsid w:val="00A52321"/>
    <w:rsid w:val="00A536FD"/>
    <w:rsid w:val="00A53CF0"/>
    <w:rsid w:val="00A542FC"/>
    <w:rsid w:val="00A54ECF"/>
    <w:rsid w:val="00A562AE"/>
    <w:rsid w:val="00A5635F"/>
    <w:rsid w:val="00A57342"/>
    <w:rsid w:val="00A6023C"/>
    <w:rsid w:val="00A632E7"/>
    <w:rsid w:val="00A639BF"/>
    <w:rsid w:val="00A67F71"/>
    <w:rsid w:val="00A70321"/>
    <w:rsid w:val="00A71697"/>
    <w:rsid w:val="00A71979"/>
    <w:rsid w:val="00A71B67"/>
    <w:rsid w:val="00A73298"/>
    <w:rsid w:val="00A7348F"/>
    <w:rsid w:val="00A7595F"/>
    <w:rsid w:val="00A7624E"/>
    <w:rsid w:val="00A76E72"/>
    <w:rsid w:val="00A775DE"/>
    <w:rsid w:val="00A77CF2"/>
    <w:rsid w:val="00A80D26"/>
    <w:rsid w:val="00A81D93"/>
    <w:rsid w:val="00A82D41"/>
    <w:rsid w:val="00A8383D"/>
    <w:rsid w:val="00A83E5C"/>
    <w:rsid w:val="00A84EF0"/>
    <w:rsid w:val="00A8536C"/>
    <w:rsid w:val="00A855C1"/>
    <w:rsid w:val="00A856B2"/>
    <w:rsid w:val="00A8769D"/>
    <w:rsid w:val="00A87EA9"/>
    <w:rsid w:val="00A905DE"/>
    <w:rsid w:val="00A9076C"/>
    <w:rsid w:val="00A91B8E"/>
    <w:rsid w:val="00A91CF0"/>
    <w:rsid w:val="00A943AD"/>
    <w:rsid w:val="00A94461"/>
    <w:rsid w:val="00A9472B"/>
    <w:rsid w:val="00A950ED"/>
    <w:rsid w:val="00A95C54"/>
    <w:rsid w:val="00A97025"/>
    <w:rsid w:val="00A97C15"/>
    <w:rsid w:val="00AA0184"/>
    <w:rsid w:val="00AA054B"/>
    <w:rsid w:val="00AA0F7D"/>
    <w:rsid w:val="00AA1484"/>
    <w:rsid w:val="00AA1717"/>
    <w:rsid w:val="00AA3898"/>
    <w:rsid w:val="00AA3C95"/>
    <w:rsid w:val="00AA7A50"/>
    <w:rsid w:val="00AB0257"/>
    <w:rsid w:val="00AB0266"/>
    <w:rsid w:val="00AB1AED"/>
    <w:rsid w:val="00AB1ED0"/>
    <w:rsid w:val="00AB2B0E"/>
    <w:rsid w:val="00AB3B92"/>
    <w:rsid w:val="00AB4B58"/>
    <w:rsid w:val="00AB51C3"/>
    <w:rsid w:val="00AB558E"/>
    <w:rsid w:val="00AB71BB"/>
    <w:rsid w:val="00AB75D4"/>
    <w:rsid w:val="00AC0B50"/>
    <w:rsid w:val="00AC0D74"/>
    <w:rsid w:val="00AC14BD"/>
    <w:rsid w:val="00AC212A"/>
    <w:rsid w:val="00AC2248"/>
    <w:rsid w:val="00AC276C"/>
    <w:rsid w:val="00AC321C"/>
    <w:rsid w:val="00AC3C2C"/>
    <w:rsid w:val="00AC4037"/>
    <w:rsid w:val="00AC4133"/>
    <w:rsid w:val="00AC42A4"/>
    <w:rsid w:val="00AC4AA1"/>
    <w:rsid w:val="00AC4C52"/>
    <w:rsid w:val="00AC6542"/>
    <w:rsid w:val="00AC7732"/>
    <w:rsid w:val="00AD1927"/>
    <w:rsid w:val="00AD1A5D"/>
    <w:rsid w:val="00AD2517"/>
    <w:rsid w:val="00AD2E51"/>
    <w:rsid w:val="00AD3498"/>
    <w:rsid w:val="00AD3BDA"/>
    <w:rsid w:val="00AD3C83"/>
    <w:rsid w:val="00AD45EF"/>
    <w:rsid w:val="00AD500C"/>
    <w:rsid w:val="00AD587C"/>
    <w:rsid w:val="00AD5F82"/>
    <w:rsid w:val="00AD7A14"/>
    <w:rsid w:val="00AE0005"/>
    <w:rsid w:val="00AE03A3"/>
    <w:rsid w:val="00AE0B93"/>
    <w:rsid w:val="00AE186C"/>
    <w:rsid w:val="00AE1947"/>
    <w:rsid w:val="00AE226F"/>
    <w:rsid w:val="00AE2325"/>
    <w:rsid w:val="00AE2F50"/>
    <w:rsid w:val="00AE3AF9"/>
    <w:rsid w:val="00AE5DA8"/>
    <w:rsid w:val="00AE5E5C"/>
    <w:rsid w:val="00AE5F94"/>
    <w:rsid w:val="00AE72B1"/>
    <w:rsid w:val="00AE7DAF"/>
    <w:rsid w:val="00AE7E81"/>
    <w:rsid w:val="00AF0491"/>
    <w:rsid w:val="00AF0718"/>
    <w:rsid w:val="00AF07AB"/>
    <w:rsid w:val="00AF0CC8"/>
    <w:rsid w:val="00AF16EC"/>
    <w:rsid w:val="00AF23B1"/>
    <w:rsid w:val="00AF3582"/>
    <w:rsid w:val="00AF39A9"/>
    <w:rsid w:val="00AF3C27"/>
    <w:rsid w:val="00AF45B2"/>
    <w:rsid w:val="00AF48BE"/>
    <w:rsid w:val="00AF5377"/>
    <w:rsid w:val="00AF61AA"/>
    <w:rsid w:val="00AF64F5"/>
    <w:rsid w:val="00AF666D"/>
    <w:rsid w:val="00AF710D"/>
    <w:rsid w:val="00B00410"/>
    <w:rsid w:val="00B0195C"/>
    <w:rsid w:val="00B026D2"/>
    <w:rsid w:val="00B036B0"/>
    <w:rsid w:val="00B049DB"/>
    <w:rsid w:val="00B0551C"/>
    <w:rsid w:val="00B059DD"/>
    <w:rsid w:val="00B06C17"/>
    <w:rsid w:val="00B07B1E"/>
    <w:rsid w:val="00B1185F"/>
    <w:rsid w:val="00B11C16"/>
    <w:rsid w:val="00B120A1"/>
    <w:rsid w:val="00B1230C"/>
    <w:rsid w:val="00B128DD"/>
    <w:rsid w:val="00B167FA"/>
    <w:rsid w:val="00B21964"/>
    <w:rsid w:val="00B2254B"/>
    <w:rsid w:val="00B22ABB"/>
    <w:rsid w:val="00B23084"/>
    <w:rsid w:val="00B24BA7"/>
    <w:rsid w:val="00B252C5"/>
    <w:rsid w:val="00B253F5"/>
    <w:rsid w:val="00B256EE"/>
    <w:rsid w:val="00B25F8D"/>
    <w:rsid w:val="00B26A2D"/>
    <w:rsid w:val="00B27D77"/>
    <w:rsid w:val="00B30D4F"/>
    <w:rsid w:val="00B31630"/>
    <w:rsid w:val="00B32944"/>
    <w:rsid w:val="00B32D7C"/>
    <w:rsid w:val="00B33F24"/>
    <w:rsid w:val="00B364D0"/>
    <w:rsid w:val="00B366FD"/>
    <w:rsid w:val="00B4015F"/>
    <w:rsid w:val="00B4017F"/>
    <w:rsid w:val="00B4024A"/>
    <w:rsid w:val="00B42589"/>
    <w:rsid w:val="00B42C0F"/>
    <w:rsid w:val="00B44523"/>
    <w:rsid w:val="00B44D9D"/>
    <w:rsid w:val="00B45306"/>
    <w:rsid w:val="00B47B18"/>
    <w:rsid w:val="00B47BFB"/>
    <w:rsid w:val="00B47FDF"/>
    <w:rsid w:val="00B50957"/>
    <w:rsid w:val="00B50C1A"/>
    <w:rsid w:val="00B52C24"/>
    <w:rsid w:val="00B537B2"/>
    <w:rsid w:val="00B542D6"/>
    <w:rsid w:val="00B54E29"/>
    <w:rsid w:val="00B55068"/>
    <w:rsid w:val="00B6022E"/>
    <w:rsid w:val="00B60702"/>
    <w:rsid w:val="00B60781"/>
    <w:rsid w:val="00B6141B"/>
    <w:rsid w:val="00B61546"/>
    <w:rsid w:val="00B61A63"/>
    <w:rsid w:val="00B62064"/>
    <w:rsid w:val="00B623DD"/>
    <w:rsid w:val="00B634C5"/>
    <w:rsid w:val="00B634D8"/>
    <w:rsid w:val="00B63F11"/>
    <w:rsid w:val="00B64A1B"/>
    <w:rsid w:val="00B64A71"/>
    <w:rsid w:val="00B66377"/>
    <w:rsid w:val="00B66EF1"/>
    <w:rsid w:val="00B7159E"/>
    <w:rsid w:val="00B722F0"/>
    <w:rsid w:val="00B72848"/>
    <w:rsid w:val="00B74069"/>
    <w:rsid w:val="00B744FE"/>
    <w:rsid w:val="00B75A5A"/>
    <w:rsid w:val="00B76327"/>
    <w:rsid w:val="00B76DD1"/>
    <w:rsid w:val="00B77E7B"/>
    <w:rsid w:val="00B8014F"/>
    <w:rsid w:val="00B80D57"/>
    <w:rsid w:val="00B80DB2"/>
    <w:rsid w:val="00B810AC"/>
    <w:rsid w:val="00B82435"/>
    <w:rsid w:val="00B8436D"/>
    <w:rsid w:val="00B85B18"/>
    <w:rsid w:val="00B8665A"/>
    <w:rsid w:val="00B86CFC"/>
    <w:rsid w:val="00B87205"/>
    <w:rsid w:val="00B87AEA"/>
    <w:rsid w:val="00B904C3"/>
    <w:rsid w:val="00B90701"/>
    <w:rsid w:val="00B91A1F"/>
    <w:rsid w:val="00B92FC7"/>
    <w:rsid w:val="00B93267"/>
    <w:rsid w:val="00B94FD9"/>
    <w:rsid w:val="00B95E79"/>
    <w:rsid w:val="00B965E1"/>
    <w:rsid w:val="00B966A6"/>
    <w:rsid w:val="00B97107"/>
    <w:rsid w:val="00B975C1"/>
    <w:rsid w:val="00BA0A6E"/>
    <w:rsid w:val="00BA2F44"/>
    <w:rsid w:val="00BA3860"/>
    <w:rsid w:val="00BA3D1E"/>
    <w:rsid w:val="00BA401D"/>
    <w:rsid w:val="00BA5033"/>
    <w:rsid w:val="00BA511B"/>
    <w:rsid w:val="00BA567E"/>
    <w:rsid w:val="00BA6573"/>
    <w:rsid w:val="00BA6761"/>
    <w:rsid w:val="00BA6861"/>
    <w:rsid w:val="00BA6D0E"/>
    <w:rsid w:val="00BA7783"/>
    <w:rsid w:val="00BA798A"/>
    <w:rsid w:val="00BA7B86"/>
    <w:rsid w:val="00BB0A8D"/>
    <w:rsid w:val="00BB0FE8"/>
    <w:rsid w:val="00BB1486"/>
    <w:rsid w:val="00BB2509"/>
    <w:rsid w:val="00BB28AC"/>
    <w:rsid w:val="00BB39BE"/>
    <w:rsid w:val="00BB3C67"/>
    <w:rsid w:val="00BB4511"/>
    <w:rsid w:val="00BB690E"/>
    <w:rsid w:val="00BB72AA"/>
    <w:rsid w:val="00BB7AD4"/>
    <w:rsid w:val="00BB7BC1"/>
    <w:rsid w:val="00BB7F13"/>
    <w:rsid w:val="00BC0815"/>
    <w:rsid w:val="00BC1F2A"/>
    <w:rsid w:val="00BC310B"/>
    <w:rsid w:val="00BC318B"/>
    <w:rsid w:val="00BC3728"/>
    <w:rsid w:val="00BC3C70"/>
    <w:rsid w:val="00BC4562"/>
    <w:rsid w:val="00BC4ECA"/>
    <w:rsid w:val="00BC5A7F"/>
    <w:rsid w:val="00BD0DCB"/>
    <w:rsid w:val="00BD0DDE"/>
    <w:rsid w:val="00BD3BEB"/>
    <w:rsid w:val="00BD4678"/>
    <w:rsid w:val="00BD6688"/>
    <w:rsid w:val="00BD7A41"/>
    <w:rsid w:val="00BD7F77"/>
    <w:rsid w:val="00BE02E8"/>
    <w:rsid w:val="00BE0657"/>
    <w:rsid w:val="00BE0A50"/>
    <w:rsid w:val="00BE2717"/>
    <w:rsid w:val="00BE37E0"/>
    <w:rsid w:val="00BE3BBB"/>
    <w:rsid w:val="00BE409A"/>
    <w:rsid w:val="00BE4321"/>
    <w:rsid w:val="00BE4573"/>
    <w:rsid w:val="00BE4F3B"/>
    <w:rsid w:val="00BE6C84"/>
    <w:rsid w:val="00BE75EA"/>
    <w:rsid w:val="00BF2A1D"/>
    <w:rsid w:val="00BF2A88"/>
    <w:rsid w:val="00BF2FFC"/>
    <w:rsid w:val="00BF3377"/>
    <w:rsid w:val="00BF3C40"/>
    <w:rsid w:val="00BF6093"/>
    <w:rsid w:val="00BF7019"/>
    <w:rsid w:val="00BF7041"/>
    <w:rsid w:val="00C00B51"/>
    <w:rsid w:val="00C01BEB"/>
    <w:rsid w:val="00C02D1A"/>
    <w:rsid w:val="00C037DF"/>
    <w:rsid w:val="00C03D30"/>
    <w:rsid w:val="00C040E3"/>
    <w:rsid w:val="00C046C0"/>
    <w:rsid w:val="00C05732"/>
    <w:rsid w:val="00C05DBD"/>
    <w:rsid w:val="00C068F2"/>
    <w:rsid w:val="00C0691B"/>
    <w:rsid w:val="00C06AA8"/>
    <w:rsid w:val="00C06DFD"/>
    <w:rsid w:val="00C06F1F"/>
    <w:rsid w:val="00C1106E"/>
    <w:rsid w:val="00C1115F"/>
    <w:rsid w:val="00C12394"/>
    <w:rsid w:val="00C127C1"/>
    <w:rsid w:val="00C13735"/>
    <w:rsid w:val="00C13980"/>
    <w:rsid w:val="00C152A6"/>
    <w:rsid w:val="00C16939"/>
    <w:rsid w:val="00C17343"/>
    <w:rsid w:val="00C20539"/>
    <w:rsid w:val="00C20639"/>
    <w:rsid w:val="00C22612"/>
    <w:rsid w:val="00C270CC"/>
    <w:rsid w:val="00C2723E"/>
    <w:rsid w:val="00C27460"/>
    <w:rsid w:val="00C274DC"/>
    <w:rsid w:val="00C27727"/>
    <w:rsid w:val="00C277F9"/>
    <w:rsid w:val="00C3306C"/>
    <w:rsid w:val="00C33110"/>
    <w:rsid w:val="00C3333D"/>
    <w:rsid w:val="00C33744"/>
    <w:rsid w:val="00C34167"/>
    <w:rsid w:val="00C34D7C"/>
    <w:rsid w:val="00C35987"/>
    <w:rsid w:val="00C36F8B"/>
    <w:rsid w:val="00C47D98"/>
    <w:rsid w:val="00C47E53"/>
    <w:rsid w:val="00C50730"/>
    <w:rsid w:val="00C51A25"/>
    <w:rsid w:val="00C522BB"/>
    <w:rsid w:val="00C544F6"/>
    <w:rsid w:val="00C546EE"/>
    <w:rsid w:val="00C54F11"/>
    <w:rsid w:val="00C55797"/>
    <w:rsid w:val="00C55D2A"/>
    <w:rsid w:val="00C5683A"/>
    <w:rsid w:val="00C57599"/>
    <w:rsid w:val="00C57DC1"/>
    <w:rsid w:val="00C60B23"/>
    <w:rsid w:val="00C61F94"/>
    <w:rsid w:val="00C636B9"/>
    <w:rsid w:val="00C638D5"/>
    <w:rsid w:val="00C643D6"/>
    <w:rsid w:val="00C64931"/>
    <w:rsid w:val="00C665A4"/>
    <w:rsid w:val="00C67FAC"/>
    <w:rsid w:val="00C70A8B"/>
    <w:rsid w:val="00C71443"/>
    <w:rsid w:val="00C71CC4"/>
    <w:rsid w:val="00C7205E"/>
    <w:rsid w:val="00C72366"/>
    <w:rsid w:val="00C72930"/>
    <w:rsid w:val="00C7365E"/>
    <w:rsid w:val="00C7558D"/>
    <w:rsid w:val="00C75F38"/>
    <w:rsid w:val="00C77609"/>
    <w:rsid w:val="00C77C7E"/>
    <w:rsid w:val="00C84F39"/>
    <w:rsid w:val="00C857B5"/>
    <w:rsid w:val="00C85855"/>
    <w:rsid w:val="00C86510"/>
    <w:rsid w:val="00C87519"/>
    <w:rsid w:val="00C875B5"/>
    <w:rsid w:val="00C877D6"/>
    <w:rsid w:val="00C87AFC"/>
    <w:rsid w:val="00C90459"/>
    <w:rsid w:val="00C907D8"/>
    <w:rsid w:val="00C90806"/>
    <w:rsid w:val="00C91A27"/>
    <w:rsid w:val="00C92E55"/>
    <w:rsid w:val="00C92E85"/>
    <w:rsid w:val="00C9388A"/>
    <w:rsid w:val="00C94198"/>
    <w:rsid w:val="00C9443C"/>
    <w:rsid w:val="00C961AF"/>
    <w:rsid w:val="00C96335"/>
    <w:rsid w:val="00C963BE"/>
    <w:rsid w:val="00C967E8"/>
    <w:rsid w:val="00C96961"/>
    <w:rsid w:val="00CA2A58"/>
    <w:rsid w:val="00CA4400"/>
    <w:rsid w:val="00CA6F8F"/>
    <w:rsid w:val="00CA7363"/>
    <w:rsid w:val="00CB061F"/>
    <w:rsid w:val="00CB0854"/>
    <w:rsid w:val="00CB1AC9"/>
    <w:rsid w:val="00CB216E"/>
    <w:rsid w:val="00CB2422"/>
    <w:rsid w:val="00CB260F"/>
    <w:rsid w:val="00CB3170"/>
    <w:rsid w:val="00CB455B"/>
    <w:rsid w:val="00CB455E"/>
    <w:rsid w:val="00CB4C29"/>
    <w:rsid w:val="00CB4EC9"/>
    <w:rsid w:val="00CB519F"/>
    <w:rsid w:val="00CB6EBB"/>
    <w:rsid w:val="00CB786B"/>
    <w:rsid w:val="00CC19D4"/>
    <w:rsid w:val="00CC1E53"/>
    <w:rsid w:val="00CC2A31"/>
    <w:rsid w:val="00CC2E16"/>
    <w:rsid w:val="00CC3E90"/>
    <w:rsid w:val="00CC706C"/>
    <w:rsid w:val="00CC7D21"/>
    <w:rsid w:val="00CD0377"/>
    <w:rsid w:val="00CD08D1"/>
    <w:rsid w:val="00CD0B30"/>
    <w:rsid w:val="00CD2F8A"/>
    <w:rsid w:val="00CD385C"/>
    <w:rsid w:val="00CD3E07"/>
    <w:rsid w:val="00CD42FF"/>
    <w:rsid w:val="00CD570E"/>
    <w:rsid w:val="00CD61CF"/>
    <w:rsid w:val="00CD6AE1"/>
    <w:rsid w:val="00CD7B31"/>
    <w:rsid w:val="00CD7EA0"/>
    <w:rsid w:val="00CE36D6"/>
    <w:rsid w:val="00CE4176"/>
    <w:rsid w:val="00CE4F8E"/>
    <w:rsid w:val="00CE58B4"/>
    <w:rsid w:val="00CE656B"/>
    <w:rsid w:val="00CE669A"/>
    <w:rsid w:val="00CE7C78"/>
    <w:rsid w:val="00CF037F"/>
    <w:rsid w:val="00CF17F6"/>
    <w:rsid w:val="00CF183C"/>
    <w:rsid w:val="00CF55D5"/>
    <w:rsid w:val="00CF5B49"/>
    <w:rsid w:val="00CF6465"/>
    <w:rsid w:val="00CF68BD"/>
    <w:rsid w:val="00CF6C03"/>
    <w:rsid w:val="00D00E3E"/>
    <w:rsid w:val="00D016D1"/>
    <w:rsid w:val="00D01FD3"/>
    <w:rsid w:val="00D02F3A"/>
    <w:rsid w:val="00D0395F"/>
    <w:rsid w:val="00D03D6A"/>
    <w:rsid w:val="00D063AB"/>
    <w:rsid w:val="00D06864"/>
    <w:rsid w:val="00D069D9"/>
    <w:rsid w:val="00D06B36"/>
    <w:rsid w:val="00D10017"/>
    <w:rsid w:val="00D103B6"/>
    <w:rsid w:val="00D11C86"/>
    <w:rsid w:val="00D128FD"/>
    <w:rsid w:val="00D12B3A"/>
    <w:rsid w:val="00D14494"/>
    <w:rsid w:val="00D14E28"/>
    <w:rsid w:val="00D16971"/>
    <w:rsid w:val="00D17485"/>
    <w:rsid w:val="00D17BFD"/>
    <w:rsid w:val="00D202AD"/>
    <w:rsid w:val="00D208A8"/>
    <w:rsid w:val="00D2095C"/>
    <w:rsid w:val="00D21778"/>
    <w:rsid w:val="00D22136"/>
    <w:rsid w:val="00D2356F"/>
    <w:rsid w:val="00D2483E"/>
    <w:rsid w:val="00D24FE5"/>
    <w:rsid w:val="00D264D9"/>
    <w:rsid w:val="00D30604"/>
    <w:rsid w:val="00D30E85"/>
    <w:rsid w:val="00D31BC7"/>
    <w:rsid w:val="00D31C1A"/>
    <w:rsid w:val="00D3270F"/>
    <w:rsid w:val="00D32D74"/>
    <w:rsid w:val="00D34007"/>
    <w:rsid w:val="00D34720"/>
    <w:rsid w:val="00D34F96"/>
    <w:rsid w:val="00D35150"/>
    <w:rsid w:val="00D36ABB"/>
    <w:rsid w:val="00D36EED"/>
    <w:rsid w:val="00D37B44"/>
    <w:rsid w:val="00D4063E"/>
    <w:rsid w:val="00D41118"/>
    <w:rsid w:val="00D41189"/>
    <w:rsid w:val="00D41795"/>
    <w:rsid w:val="00D41963"/>
    <w:rsid w:val="00D42028"/>
    <w:rsid w:val="00D44939"/>
    <w:rsid w:val="00D46A71"/>
    <w:rsid w:val="00D4728B"/>
    <w:rsid w:val="00D47407"/>
    <w:rsid w:val="00D50838"/>
    <w:rsid w:val="00D50B59"/>
    <w:rsid w:val="00D50C97"/>
    <w:rsid w:val="00D50EFF"/>
    <w:rsid w:val="00D5182E"/>
    <w:rsid w:val="00D5338F"/>
    <w:rsid w:val="00D538C1"/>
    <w:rsid w:val="00D54BF0"/>
    <w:rsid w:val="00D55B08"/>
    <w:rsid w:val="00D56CE8"/>
    <w:rsid w:val="00D57216"/>
    <w:rsid w:val="00D57A53"/>
    <w:rsid w:val="00D57C57"/>
    <w:rsid w:val="00D57EA6"/>
    <w:rsid w:val="00D60295"/>
    <w:rsid w:val="00D6182A"/>
    <w:rsid w:val="00D6227A"/>
    <w:rsid w:val="00D6284C"/>
    <w:rsid w:val="00D62F21"/>
    <w:rsid w:val="00D6349E"/>
    <w:rsid w:val="00D65B1B"/>
    <w:rsid w:val="00D65B37"/>
    <w:rsid w:val="00D65E2A"/>
    <w:rsid w:val="00D6653D"/>
    <w:rsid w:val="00D67104"/>
    <w:rsid w:val="00D6749B"/>
    <w:rsid w:val="00D67C52"/>
    <w:rsid w:val="00D67E22"/>
    <w:rsid w:val="00D71157"/>
    <w:rsid w:val="00D726B4"/>
    <w:rsid w:val="00D727AD"/>
    <w:rsid w:val="00D73C87"/>
    <w:rsid w:val="00D7409E"/>
    <w:rsid w:val="00D74734"/>
    <w:rsid w:val="00D75572"/>
    <w:rsid w:val="00D759AD"/>
    <w:rsid w:val="00D774E7"/>
    <w:rsid w:val="00D80C1C"/>
    <w:rsid w:val="00D8182A"/>
    <w:rsid w:val="00D82267"/>
    <w:rsid w:val="00D8236D"/>
    <w:rsid w:val="00D83E06"/>
    <w:rsid w:val="00D84627"/>
    <w:rsid w:val="00D86523"/>
    <w:rsid w:val="00D87020"/>
    <w:rsid w:val="00D872E7"/>
    <w:rsid w:val="00D904DE"/>
    <w:rsid w:val="00D90782"/>
    <w:rsid w:val="00D92335"/>
    <w:rsid w:val="00D92F31"/>
    <w:rsid w:val="00D949CB"/>
    <w:rsid w:val="00D94AF1"/>
    <w:rsid w:val="00D94B49"/>
    <w:rsid w:val="00D95379"/>
    <w:rsid w:val="00D954C3"/>
    <w:rsid w:val="00D96020"/>
    <w:rsid w:val="00D96037"/>
    <w:rsid w:val="00D968C9"/>
    <w:rsid w:val="00D96FDE"/>
    <w:rsid w:val="00D9756C"/>
    <w:rsid w:val="00DA0020"/>
    <w:rsid w:val="00DA07FD"/>
    <w:rsid w:val="00DA34F2"/>
    <w:rsid w:val="00DA378C"/>
    <w:rsid w:val="00DA39D7"/>
    <w:rsid w:val="00DA416D"/>
    <w:rsid w:val="00DA512B"/>
    <w:rsid w:val="00DA55E1"/>
    <w:rsid w:val="00DA67C9"/>
    <w:rsid w:val="00DA68CE"/>
    <w:rsid w:val="00DB0DAC"/>
    <w:rsid w:val="00DB1308"/>
    <w:rsid w:val="00DB15CA"/>
    <w:rsid w:val="00DB27BD"/>
    <w:rsid w:val="00DB3280"/>
    <w:rsid w:val="00DB39D1"/>
    <w:rsid w:val="00DB459B"/>
    <w:rsid w:val="00DB4A2A"/>
    <w:rsid w:val="00DB5A43"/>
    <w:rsid w:val="00DB64CF"/>
    <w:rsid w:val="00DB6B11"/>
    <w:rsid w:val="00DB7291"/>
    <w:rsid w:val="00DC0CE5"/>
    <w:rsid w:val="00DC1310"/>
    <w:rsid w:val="00DC1D92"/>
    <w:rsid w:val="00DC39A2"/>
    <w:rsid w:val="00DC3B99"/>
    <w:rsid w:val="00DC3F14"/>
    <w:rsid w:val="00DC440B"/>
    <w:rsid w:val="00DC5512"/>
    <w:rsid w:val="00DC77A1"/>
    <w:rsid w:val="00DD0EEE"/>
    <w:rsid w:val="00DD28AA"/>
    <w:rsid w:val="00DD382B"/>
    <w:rsid w:val="00DD3943"/>
    <w:rsid w:val="00DD4FC5"/>
    <w:rsid w:val="00DD510A"/>
    <w:rsid w:val="00DE0F8D"/>
    <w:rsid w:val="00DE1028"/>
    <w:rsid w:val="00DE125B"/>
    <w:rsid w:val="00DE1A87"/>
    <w:rsid w:val="00DE3004"/>
    <w:rsid w:val="00DE4201"/>
    <w:rsid w:val="00DE42A0"/>
    <w:rsid w:val="00DE4713"/>
    <w:rsid w:val="00DE57E0"/>
    <w:rsid w:val="00DE6867"/>
    <w:rsid w:val="00DE7604"/>
    <w:rsid w:val="00DE7666"/>
    <w:rsid w:val="00DE7B1F"/>
    <w:rsid w:val="00DF043D"/>
    <w:rsid w:val="00DF0B3F"/>
    <w:rsid w:val="00DF14CE"/>
    <w:rsid w:val="00DF1592"/>
    <w:rsid w:val="00DF1740"/>
    <w:rsid w:val="00DF2235"/>
    <w:rsid w:val="00DF28CF"/>
    <w:rsid w:val="00DF2B5D"/>
    <w:rsid w:val="00DF3126"/>
    <w:rsid w:val="00DF3BBF"/>
    <w:rsid w:val="00DF3D76"/>
    <w:rsid w:val="00DF3E51"/>
    <w:rsid w:val="00DF5CF3"/>
    <w:rsid w:val="00DF76E7"/>
    <w:rsid w:val="00E0159E"/>
    <w:rsid w:val="00E01B55"/>
    <w:rsid w:val="00E01B9E"/>
    <w:rsid w:val="00E02A2E"/>
    <w:rsid w:val="00E034CC"/>
    <w:rsid w:val="00E0412B"/>
    <w:rsid w:val="00E04C4C"/>
    <w:rsid w:val="00E06799"/>
    <w:rsid w:val="00E11A4F"/>
    <w:rsid w:val="00E126A5"/>
    <w:rsid w:val="00E12806"/>
    <w:rsid w:val="00E132AD"/>
    <w:rsid w:val="00E137AC"/>
    <w:rsid w:val="00E13EFE"/>
    <w:rsid w:val="00E14621"/>
    <w:rsid w:val="00E154E1"/>
    <w:rsid w:val="00E17813"/>
    <w:rsid w:val="00E208E0"/>
    <w:rsid w:val="00E20DEB"/>
    <w:rsid w:val="00E227DA"/>
    <w:rsid w:val="00E22D14"/>
    <w:rsid w:val="00E22FA2"/>
    <w:rsid w:val="00E23CBB"/>
    <w:rsid w:val="00E25AEC"/>
    <w:rsid w:val="00E26952"/>
    <w:rsid w:val="00E27118"/>
    <w:rsid w:val="00E3001F"/>
    <w:rsid w:val="00E3025E"/>
    <w:rsid w:val="00E31950"/>
    <w:rsid w:val="00E3218D"/>
    <w:rsid w:val="00E324B9"/>
    <w:rsid w:val="00E3280D"/>
    <w:rsid w:val="00E32B01"/>
    <w:rsid w:val="00E34FDF"/>
    <w:rsid w:val="00E35053"/>
    <w:rsid w:val="00E37B90"/>
    <w:rsid w:val="00E4075F"/>
    <w:rsid w:val="00E416FF"/>
    <w:rsid w:val="00E4197D"/>
    <w:rsid w:val="00E4313B"/>
    <w:rsid w:val="00E433E1"/>
    <w:rsid w:val="00E4516A"/>
    <w:rsid w:val="00E45244"/>
    <w:rsid w:val="00E46414"/>
    <w:rsid w:val="00E4796E"/>
    <w:rsid w:val="00E50D31"/>
    <w:rsid w:val="00E5131D"/>
    <w:rsid w:val="00E5150C"/>
    <w:rsid w:val="00E5260F"/>
    <w:rsid w:val="00E541BD"/>
    <w:rsid w:val="00E5562E"/>
    <w:rsid w:val="00E556D0"/>
    <w:rsid w:val="00E557E9"/>
    <w:rsid w:val="00E5599F"/>
    <w:rsid w:val="00E56C58"/>
    <w:rsid w:val="00E57233"/>
    <w:rsid w:val="00E577A9"/>
    <w:rsid w:val="00E57A11"/>
    <w:rsid w:val="00E57C67"/>
    <w:rsid w:val="00E603A0"/>
    <w:rsid w:val="00E60F14"/>
    <w:rsid w:val="00E61527"/>
    <w:rsid w:val="00E61CB6"/>
    <w:rsid w:val="00E61FED"/>
    <w:rsid w:val="00E62AB4"/>
    <w:rsid w:val="00E62BF9"/>
    <w:rsid w:val="00E62E4A"/>
    <w:rsid w:val="00E630BD"/>
    <w:rsid w:val="00E64755"/>
    <w:rsid w:val="00E64CA3"/>
    <w:rsid w:val="00E6577F"/>
    <w:rsid w:val="00E65D52"/>
    <w:rsid w:val="00E66E8D"/>
    <w:rsid w:val="00E67B8A"/>
    <w:rsid w:val="00E70709"/>
    <w:rsid w:val="00E71845"/>
    <w:rsid w:val="00E72185"/>
    <w:rsid w:val="00E73288"/>
    <w:rsid w:val="00E73B64"/>
    <w:rsid w:val="00E741D9"/>
    <w:rsid w:val="00E75B98"/>
    <w:rsid w:val="00E777C1"/>
    <w:rsid w:val="00E777EE"/>
    <w:rsid w:val="00E77EB6"/>
    <w:rsid w:val="00E80E4F"/>
    <w:rsid w:val="00E81C45"/>
    <w:rsid w:val="00E81C5D"/>
    <w:rsid w:val="00E846AB"/>
    <w:rsid w:val="00E8714A"/>
    <w:rsid w:val="00E87C79"/>
    <w:rsid w:val="00E914DF"/>
    <w:rsid w:val="00E96EF1"/>
    <w:rsid w:val="00E9792C"/>
    <w:rsid w:val="00EA0BF5"/>
    <w:rsid w:val="00EA0EF9"/>
    <w:rsid w:val="00EA13C2"/>
    <w:rsid w:val="00EA1777"/>
    <w:rsid w:val="00EA3333"/>
    <w:rsid w:val="00EA3CF3"/>
    <w:rsid w:val="00EA3D6D"/>
    <w:rsid w:val="00EA407E"/>
    <w:rsid w:val="00EA67B6"/>
    <w:rsid w:val="00EA6A70"/>
    <w:rsid w:val="00EA76E1"/>
    <w:rsid w:val="00EB037A"/>
    <w:rsid w:val="00EB2075"/>
    <w:rsid w:val="00EB217B"/>
    <w:rsid w:val="00EB4094"/>
    <w:rsid w:val="00EB4A12"/>
    <w:rsid w:val="00EB4AC1"/>
    <w:rsid w:val="00EB5864"/>
    <w:rsid w:val="00EB696A"/>
    <w:rsid w:val="00EB76BB"/>
    <w:rsid w:val="00EB7BDD"/>
    <w:rsid w:val="00EC0A36"/>
    <w:rsid w:val="00EC2A5F"/>
    <w:rsid w:val="00EC321D"/>
    <w:rsid w:val="00EC3622"/>
    <w:rsid w:val="00EC4FAB"/>
    <w:rsid w:val="00EC7159"/>
    <w:rsid w:val="00EC7936"/>
    <w:rsid w:val="00EC7A56"/>
    <w:rsid w:val="00EC7A6C"/>
    <w:rsid w:val="00ED28CB"/>
    <w:rsid w:val="00ED2B04"/>
    <w:rsid w:val="00ED33BE"/>
    <w:rsid w:val="00ED3941"/>
    <w:rsid w:val="00ED4D35"/>
    <w:rsid w:val="00ED5655"/>
    <w:rsid w:val="00ED58AF"/>
    <w:rsid w:val="00ED77CA"/>
    <w:rsid w:val="00ED7EDB"/>
    <w:rsid w:val="00EE041E"/>
    <w:rsid w:val="00EE07F6"/>
    <w:rsid w:val="00EE0F97"/>
    <w:rsid w:val="00EE1DCB"/>
    <w:rsid w:val="00EE2193"/>
    <w:rsid w:val="00EE2511"/>
    <w:rsid w:val="00EE259D"/>
    <w:rsid w:val="00EE3648"/>
    <w:rsid w:val="00EE3716"/>
    <w:rsid w:val="00EE3CDE"/>
    <w:rsid w:val="00EE3DAC"/>
    <w:rsid w:val="00EE490E"/>
    <w:rsid w:val="00EE5106"/>
    <w:rsid w:val="00EE5BA2"/>
    <w:rsid w:val="00EE5EE9"/>
    <w:rsid w:val="00EE64F1"/>
    <w:rsid w:val="00EE6AE5"/>
    <w:rsid w:val="00EE7F08"/>
    <w:rsid w:val="00EF1039"/>
    <w:rsid w:val="00EF1CB9"/>
    <w:rsid w:val="00EF287D"/>
    <w:rsid w:val="00EF3FAF"/>
    <w:rsid w:val="00EF52D7"/>
    <w:rsid w:val="00EF5F4D"/>
    <w:rsid w:val="00EF63EF"/>
    <w:rsid w:val="00EF7C07"/>
    <w:rsid w:val="00F00749"/>
    <w:rsid w:val="00F015CE"/>
    <w:rsid w:val="00F0279E"/>
    <w:rsid w:val="00F05191"/>
    <w:rsid w:val="00F05E6B"/>
    <w:rsid w:val="00F0614D"/>
    <w:rsid w:val="00F068AA"/>
    <w:rsid w:val="00F072CD"/>
    <w:rsid w:val="00F108A4"/>
    <w:rsid w:val="00F10D50"/>
    <w:rsid w:val="00F10E2D"/>
    <w:rsid w:val="00F123ED"/>
    <w:rsid w:val="00F141B7"/>
    <w:rsid w:val="00F142CB"/>
    <w:rsid w:val="00F143A9"/>
    <w:rsid w:val="00F14FE8"/>
    <w:rsid w:val="00F15317"/>
    <w:rsid w:val="00F16567"/>
    <w:rsid w:val="00F17474"/>
    <w:rsid w:val="00F176DA"/>
    <w:rsid w:val="00F21C42"/>
    <w:rsid w:val="00F230A4"/>
    <w:rsid w:val="00F24A17"/>
    <w:rsid w:val="00F25628"/>
    <w:rsid w:val="00F26663"/>
    <w:rsid w:val="00F26E1D"/>
    <w:rsid w:val="00F273B3"/>
    <w:rsid w:val="00F3045A"/>
    <w:rsid w:val="00F30739"/>
    <w:rsid w:val="00F3085A"/>
    <w:rsid w:val="00F30CAD"/>
    <w:rsid w:val="00F31C6B"/>
    <w:rsid w:val="00F32922"/>
    <w:rsid w:val="00F32C5B"/>
    <w:rsid w:val="00F32D73"/>
    <w:rsid w:val="00F32E60"/>
    <w:rsid w:val="00F348B2"/>
    <w:rsid w:val="00F36848"/>
    <w:rsid w:val="00F36C2C"/>
    <w:rsid w:val="00F3775F"/>
    <w:rsid w:val="00F37EF1"/>
    <w:rsid w:val="00F40301"/>
    <w:rsid w:val="00F41BB7"/>
    <w:rsid w:val="00F46EB0"/>
    <w:rsid w:val="00F47F84"/>
    <w:rsid w:val="00F50CFC"/>
    <w:rsid w:val="00F50E2D"/>
    <w:rsid w:val="00F5187B"/>
    <w:rsid w:val="00F51A9C"/>
    <w:rsid w:val="00F51C2C"/>
    <w:rsid w:val="00F52FE2"/>
    <w:rsid w:val="00F534F1"/>
    <w:rsid w:val="00F53A5C"/>
    <w:rsid w:val="00F54829"/>
    <w:rsid w:val="00F5596C"/>
    <w:rsid w:val="00F564CB"/>
    <w:rsid w:val="00F5716D"/>
    <w:rsid w:val="00F60DBF"/>
    <w:rsid w:val="00F61F61"/>
    <w:rsid w:val="00F62298"/>
    <w:rsid w:val="00F631C5"/>
    <w:rsid w:val="00F6386E"/>
    <w:rsid w:val="00F647E2"/>
    <w:rsid w:val="00F64D09"/>
    <w:rsid w:val="00F65B0D"/>
    <w:rsid w:val="00F6602A"/>
    <w:rsid w:val="00F66BE6"/>
    <w:rsid w:val="00F679B4"/>
    <w:rsid w:val="00F67CE3"/>
    <w:rsid w:val="00F70DF6"/>
    <w:rsid w:val="00F7137E"/>
    <w:rsid w:val="00F71681"/>
    <w:rsid w:val="00F71ABB"/>
    <w:rsid w:val="00F723A7"/>
    <w:rsid w:val="00F72AB0"/>
    <w:rsid w:val="00F72E9D"/>
    <w:rsid w:val="00F74B0F"/>
    <w:rsid w:val="00F74BD2"/>
    <w:rsid w:val="00F7677D"/>
    <w:rsid w:val="00F76C5D"/>
    <w:rsid w:val="00F7723A"/>
    <w:rsid w:val="00F8075F"/>
    <w:rsid w:val="00F819B6"/>
    <w:rsid w:val="00F821D4"/>
    <w:rsid w:val="00F83021"/>
    <w:rsid w:val="00F84B8F"/>
    <w:rsid w:val="00F86283"/>
    <w:rsid w:val="00F862CD"/>
    <w:rsid w:val="00F86558"/>
    <w:rsid w:val="00F86E59"/>
    <w:rsid w:val="00F87414"/>
    <w:rsid w:val="00F92A37"/>
    <w:rsid w:val="00F92B94"/>
    <w:rsid w:val="00F92DD3"/>
    <w:rsid w:val="00F936F2"/>
    <w:rsid w:val="00F948F5"/>
    <w:rsid w:val="00F94CD8"/>
    <w:rsid w:val="00F97782"/>
    <w:rsid w:val="00FA0437"/>
    <w:rsid w:val="00FA19C2"/>
    <w:rsid w:val="00FA3E00"/>
    <w:rsid w:val="00FA3FB8"/>
    <w:rsid w:val="00FA4EFE"/>
    <w:rsid w:val="00FA5A02"/>
    <w:rsid w:val="00FA6049"/>
    <w:rsid w:val="00FA6EC0"/>
    <w:rsid w:val="00FA72A3"/>
    <w:rsid w:val="00FA7E74"/>
    <w:rsid w:val="00FB0CD2"/>
    <w:rsid w:val="00FB10B5"/>
    <w:rsid w:val="00FB1732"/>
    <w:rsid w:val="00FB2983"/>
    <w:rsid w:val="00FB2DCE"/>
    <w:rsid w:val="00FB381C"/>
    <w:rsid w:val="00FB53D1"/>
    <w:rsid w:val="00FB5CA5"/>
    <w:rsid w:val="00FB6330"/>
    <w:rsid w:val="00FC0429"/>
    <w:rsid w:val="00FC0B52"/>
    <w:rsid w:val="00FC2F76"/>
    <w:rsid w:val="00FC30B2"/>
    <w:rsid w:val="00FC31F4"/>
    <w:rsid w:val="00FC388A"/>
    <w:rsid w:val="00FC42D4"/>
    <w:rsid w:val="00FD026B"/>
    <w:rsid w:val="00FD1307"/>
    <w:rsid w:val="00FD20BB"/>
    <w:rsid w:val="00FD3203"/>
    <w:rsid w:val="00FD3798"/>
    <w:rsid w:val="00FD43E8"/>
    <w:rsid w:val="00FD59AF"/>
    <w:rsid w:val="00FD644B"/>
    <w:rsid w:val="00FD703F"/>
    <w:rsid w:val="00FD717C"/>
    <w:rsid w:val="00FD7A2B"/>
    <w:rsid w:val="00FE0C70"/>
    <w:rsid w:val="00FE0D6B"/>
    <w:rsid w:val="00FE1D54"/>
    <w:rsid w:val="00FE3DC9"/>
    <w:rsid w:val="00FE3DDB"/>
    <w:rsid w:val="00FE4D78"/>
    <w:rsid w:val="00FE7A05"/>
    <w:rsid w:val="00FF1475"/>
    <w:rsid w:val="00FF1CAB"/>
    <w:rsid w:val="00FF2137"/>
    <w:rsid w:val="00FF26CB"/>
    <w:rsid w:val="00FF2FB9"/>
    <w:rsid w:val="00FF3B3C"/>
    <w:rsid w:val="00FF4174"/>
    <w:rsid w:val="00FF5319"/>
    <w:rsid w:val="00FF607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99B0B"/>
  <w15:chartTrackingRefBased/>
  <w15:docId w15:val="{A35B1E96-F23F-4ABF-9120-6015FD09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5E5C"/>
    <w:pPr>
      <w:spacing w:after="200" w:line="276" w:lineRule="auto"/>
    </w:pPr>
    <w:rPr>
      <w:sz w:val="22"/>
      <w:szCs w:val="22"/>
      <w:lang w:eastAsia="en-US"/>
    </w:rPr>
  </w:style>
  <w:style w:type="paragraph" w:styleId="Nagwek1">
    <w:name w:val="heading 1"/>
    <w:basedOn w:val="Normalny"/>
    <w:next w:val="Normalny"/>
    <w:link w:val="Nagwek1Znak"/>
    <w:uiPriority w:val="9"/>
    <w:qFormat/>
    <w:rsid w:val="0068236C"/>
    <w:pPr>
      <w:keepNext/>
      <w:keepLines/>
      <w:spacing w:before="360" w:after="120"/>
      <w:outlineLvl w:val="0"/>
    </w:pPr>
    <w:rPr>
      <w:rFonts w:asciiTheme="majorHAnsi" w:eastAsiaTheme="majorEastAsia" w:hAnsiTheme="majorHAnsi"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aliases w:val="nowy"/>
    <w:basedOn w:val="Standardowy"/>
    <w:uiPriority w:val="59"/>
    <w:rsid w:val="007F3476"/>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7F3476"/>
    <w:pPr>
      <w:ind w:left="720"/>
      <w:contextualSpacing/>
    </w:pPr>
  </w:style>
  <w:style w:type="character" w:styleId="Odwoaniedokomentarza">
    <w:name w:val="annotation reference"/>
    <w:uiPriority w:val="99"/>
    <w:unhideWhenUsed/>
    <w:rsid w:val="00CE36D6"/>
    <w:rPr>
      <w:sz w:val="16"/>
      <w:szCs w:val="16"/>
    </w:rPr>
  </w:style>
  <w:style w:type="paragraph" w:styleId="Tekstkomentarza">
    <w:name w:val="annotation text"/>
    <w:aliases w:val="Tekst komentarza Znak Znak,Znak3 Znak Znak, Znak3 Znak Znak, Znak,Znak"/>
    <w:basedOn w:val="Normalny"/>
    <w:link w:val="TekstkomentarzaZnak"/>
    <w:uiPriority w:val="99"/>
    <w:unhideWhenUsed/>
    <w:rsid w:val="00CE36D6"/>
    <w:pPr>
      <w:spacing w:line="240" w:lineRule="auto"/>
    </w:pPr>
    <w:rPr>
      <w:sz w:val="20"/>
      <w:szCs w:val="20"/>
    </w:rPr>
  </w:style>
  <w:style w:type="character" w:customStyle="1" w:styleId="TekstkomentarzaZnak">
    <w:name w:val="Tekst komentarza Znak"/>
    <w:aliases w:val="Tekst komentarza Znak Znak Znak,Znak3 Znak Znak Znak, Znak3 Znak Znak Znak, Znak Znak,Znak Znak"/>
    <w:link w:val="Tekstkomentarza"/>
    <w:uiPriority w:val="99"/>
    <w:rsid w:val="00CE36D6"/>
    <w:rPr>
      <w:sz w:val="20"/>
      <w:szCs w:val="20"/>
    </w:rPr>
  </w:style>
  <w:style w:type="paragraph" w:styleId="Tematkomentarza">
    <w:name w:val="annotation subject"/>
    <w:basedOn w:val="Tekstkomentarza"/>
    <w:next w:val="Tekstkomentarza"/>
    <w:link w:val="TematkomentarzaZnak"/>
    <w:uiPriority w:val="99"/>
    <w:semiHidden/>
    <w:unhideWhenUsed/>
    <w:rsid w:val="00CE36D6"/>
    <w:rPr>
      <w:b/>
      <w:bCs/>
    </w:rPr>
  </w:style>
  <w:style w:type="character" w:customStyle="1" w:styleId="TematkomentarzaZnak">
    <w:name w:val="Temat komentarza Znak"/>
    <w:link w:val="Tematkomentarza"/>
    <w:uiPriority w:val="99"/>
    <w:semiHidden/>
    <w:rsid w:val="00CE36D6"/>
    <w:rPr>
      <w:b/>
      <w:bCs/>
      <w:sz w:val="20"/>
      <w:szCs w:val="20"/>
    </w:rPr>
  </w:style>
  <w:style w:type="paragraph" w:styleId="Tekstdymka">
    <w:name w:val="Balloon Text"/>
    <w:basedOn w:val="Normalny"/>
    <w:link w:val="TekstdymkaZnak"/>
    <w:uiPriority w:val="99"/>
    <w:semiHidden/>
    <w:unhideWhenUsed/>
    <w:rsid w:val="00CE36D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E36D6"/>
    <w:rPr>
      <w:rFonts w:ascii="Tahoma" w:hAnsi="Tahoma" w:cs="Tahoma"/>
      <w:sz w:val="16"/>
      <w:szCs w:val="16"/>
    </w:rPr>
  </w:style>
  <w:style w:type="paragraph" w:styleId="Tekstprzypisudolnego">
    <w:name w:val="footnote text"/>
    <w:basedOn w:val="Normalny"/>
    <w:link w:val="TekstprzypisudolnegoZnak"/>
    <w:uiPriority w:val="99"/>
    <w:unhideWhenUsed/>
    <w:rsid w:val="00BA3860"/>
    <w:pPr>
      <w:spacing w:after="0" w:line="240" w:lineRule="auto"/>
    </w:pPr>
    <w:rPr>
      <w:sz w:val="20"/>
      <w:szCs w:val="20"/>
    </w:rPr>
  </w:style>
  <w:style w:type="character" w:customStyle="1" w:styleId="TekstprzypisudolnegoZnak">
    <w:name w:val="Tekst przypisu dolnego Znak"/>
    <w:link w:val="Tekstprzypisudolnego"/>
    <w:uiPriority w:val="99"/>
    <w:rsid w:val="00BA3860"/>
    <w:rPr>
      <w:sz w:val="20"/>
      <w:szCs w:val="20"/>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uiPriority w:val="99"/>
    <w:unhideWhenUsed/>
    <w:rsid w:val="00BA3860"/>
    <w:rPr>
      <w:vertAlign w:val="superscript"/>
    </w:rPr>
  </w:style>
  <w:style w:type="paragraph" w:styleId="Poprawka">
    <w:name w:val="Revision"/>
    <w:hidden/>
    <w:uiPriority w:val="99"/>
    <w:semiHidden/>
    <w:rsid w:val="006D1BB3"/>
    <w:rPr>
      <w:sz w:val="22"/>
      <w:szCs w:val="22"/>
      <w:lang w:eastAsia="en-US"/>
    </w:rPr>
  </w:style>
  <w:style w:type="paragraph" w:styleId="Nagwek">
    <w:name w:val="header"/>
    <w:basedOn w:val="Normalny"/>
    <w:link w:val="NagwekZnak"/>
    <w:uiPriority w:val="99"/>
    <w:unhideWhenUsed/>
    <w:rsid w:val="00480C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0CFB"/>
  </w:style>
  <w:style w:type="paragraph" w:styleId="Stopka">
    <w:name w:val="footer"/>
    <w:basedOn w:val="Normalny"/>
    <w:link w:val="StopkaZnak"/>
    <w:uiPriority w:val="99"/>
    <w:unhideWhenUsed/>
    <w:rsid w:val="00480C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0CFB"/>
  </w:style>
  <w:style w:type="character" w:styleId="Hipercze">
    <w:name w:val="Hyperlink"/>
    <w:uiPriority w:val="99"/>
    <w:unhideWhenUsed/>
    <w:rsid w:val="00887451"/>
    <w:rPr>
      <w:color w:val="0000FF"/>
      <w:u w:val="single"/>
    </w:rPr>
  </w:style>
  <w:style w:type="character" w:customStyle="1" w:styleId="TekstkomentarzaZnak1">
    <w:name w:val="Tekst komentarza Znak1"/>
    <w:uiPriority w:val="99"/>
    <w:locked/>
    <w:rsid w:val="00760805"/>
    <w:rPr>
      <w:rFonts w:ascii="Arial" w:hAnsi="Arial"/>
      <w:sz w:val="20"/>
    </w:r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link w:val="Akapitzlist"/>
    <w:uiPriority w:val="34"/>
    <w:qFormat/>
    <w:locked/>
    <w:rsid w:val="00484575"/>
    <w:rPr>
      <w:sz w:val="22"/>
      <w:szCs w:val="22"/>
      <w:lang w:eastAsia="en-US"/>
    </w:rPr>
  </w:style>
  <w:style w:type="character" w:customStyle="1" w:styleId="NagwekZnak1">
    <w:name w:val="Nagłówek Znak1"/>
    <w:uiPriority w:val="99"/>
    <w:semiHidden/>
    <w:locked/>
    <w:rsid w:val="005465BE"/>
    <w:rPr>
      <w:rFonts w:ascii="Arial" w:hAnsi="Arial"/>
    </w:rPr>
  </w:style>
  <w:style w:type="character" w:customStyle="1" w:styleId="cf01">
    <w:name w:val="cf01"/>
    <w:basedOn w:val="Domylnaczcionkaakapitu"/>
    <w:rsid w:val="00603503"/>
    <w:rPr>
      <w:rFonts w:ascii="Segoe UI" w:hAnsi="Segoe UI" w:cs="Segoe UI" w:hint="default"/>
      <w:sz w:val="18"/>
      <w:szCs w:val="18"/>
    </w:rPr>
  </w:style>
  <w:style w:type="character" w:customStyle="1" w:styleId="ui-provider">
    <w:name w:val="ui-provider"/>
    <w:basedOn w:val="Domylnaczcionkaakapitu"/>
    <w:rsid w:val="006975FD"/>
  </w:style>
  <w:style w:type="paragraph" w:styleId="Tytu">
    <w:name w:val="Title"/>
    <w:basedOn w:val="Normalny"/>
    <w:next w:val="Normalny"/>
    <w:link w:val="TytuZnak"/>
    <w:uiPriority w:val="10"/>
    <w:qFormat/>
    <w:rsid w:val="004F06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F067B"/>
    <w:rPr>
      <w:rFonts w:asciiTheme="majorHAnsi" w:eastAsiaTheme="majorEastAsia" w:hAnsiTheme="majorHAnsi" w:cstheme="majorBidi"/>
      <w:spacing w:val="-10"/>
      <w:kern w:val="28"/>
      <w:sz w:val="56"/>
      <w:szCs w:val="56"/>
      <w:lang w:eastAsia="en-US"/>
    </w:rPr>
  </w:style>
  <w:style w:type="character" w:customStyle="1" w:styleId="Nagwek1Znak">
    <w:name w:val="Nagłówek 1 Znak"/>
    <w:basedOn w:val="Domylnaczcionkaakapitu"/>
    <w:link w:val="Nagwek1"/>
    <w:uiPriority w:val="9"/>
    <w:rsid w:val="0068236C"/>
    <w:rPr>
      <w:rFonts w:asciiTheme="majorHAnsi" w:eastAsiaTheme="majorEastAsia" w:hAnsiTheme="majorHAnsi" w:cstheme="majorBidi"/>
      <w:b/>
      <w:sz w:val="24"/>
      <w:szCs w:val="32"/>
      <w:lang w:eastAsia="en-US"/>
    </w:rPr>
  </w:style>
  <w:style w:type="paragraph" w:customStyle="1" w:styleId="Default">
    <w:name w:val="Default"/>
    <w:rsid w:val="006A73F6"/>
    <w:pPr>
      <w:autoSpaceDE w:val="0"/>
      <w:autoSpaceDN w:val="0"/>
      <w:adjustRightInd w:val="0"/>
    </w:pPr>
    <w:rPr>
      <w:rFonts w:cs="Calibri"/>
      <w:color w:val="000000"/>
      <w:sz w:val="24"/>
      <w:szCs w:val="24"/>
    </w:rPr>
  </w:style>
  <w:style w:type="table" w:customStyle="1" w:styleId="nowy1">
    <w:name w:val="nowy1"/>
    <w:basedOn w:val="Standardowy"/>
    <w:next w:val="Tabela-Siatka"/>
    <w:uiPriority w:val="39"/>
    <w:rsid w:val="00756BAF"/>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C2E16"/>
    <w:rPr>
      <w:color w:val="605E5C"/>
      <w:shd w:val="clear" w:color="auto" w:fill="E1DFDD"/>
    </w:rPr>
  </w:style>
  <w:style w:type="character" w:styleId="UyteHipercze">
    <w:name w:val="FollowedHyperlink"/>
    <w:basedOn w:val="Domylnaczcionkaakapitu"/>
    <w:uiPriority w:val="99"/>
    <w:semiHidden/>
    <w:unhideWhenUsed/>
    <w:rsid w:val="0056136C"/>
    <w:rPr>
      <w:color w:val="954F72" w:themeColor="followedHyperlink"/>
      <w:u w:val="single"/>
    </w:rPr>
  </w:style>
  <w:style w:type="character" w:customStyle="1" w:styleId="Nierozpoznanawzmianka2">
    <w:name w:val="Nierozpoznana wzmianka2"/>
    <w:basedOn w:val="Domylnaczcionkaakapitu"/>
    <w:uiPriority w:val="99"/>
    <w:semiHidden/>
    <w:unhideWhenUsed/>
    <w:rsid w:val="001274DF"/>
    <w:rPr>
      <w:color w:val="605E5C"/>
      <w:shd w:val="clear" w:color="auto" w:fill="E1DFDD"/>
    </w:rPr>
  </w:style>
  <w:style w:type="paragraph" w:customStyle="1" w:styleId="pf1">
    <w:name w:val="pf1"/>
    <w:basedOn w:val="Normalny"/>
    <w:rsid w:val="00774594"/>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f0">
    <w:name w:val="pf0"/>
    <w:basedOn w:val="Normalny"/>
    <w:rsid w:val="0077459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21">
    <w:name w:val="cf21"/>
    <w:basedOn w:val="Domylnaczcionkaakapitu"/>
    <w:rsid w:val="0077459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714">
      <w:bodyDiv w:val="1"/>
      <w:marLeft w:val="0"/>
      <w:marRight w:val="0"/>
      <w:marTop w:val="0"/>
      <w:marBottom w:val="0"/>
      <w:divBdr>
        <w:top w:val="none" w:sz="0" w:space="0" w:color="auto"/>
        <w:left w:val="none" w:sz="0" w:space="0" w:color="auto"/>
        <w:bottom w:val="none" w:sz="0" w:space="0" w:color="auto"/>
        <w:right w:val="none" w:sz="0" w:space="0" w:color="auto"/>
      </w:divBdr>
    </w:div>
    <w:div w:id="299191866">
      <w:bodyDiv w:val="1"/>
      <w:marLeft w:val="0"/>
      <w:marRight w:val="0"/>
      <w:marTop w:val="0"/>
      <w:marBottom w:val="0"/>
      <w:divBdr>
        <w:top w:val="none" w:sz="0" w:space="0" w:color="auto"/>
        <w:left w:val="none" w:sz="0" w:space="0" w:color="auto"/>
        <w:bottom w:val="none" w:sz="0" w:space="0" w:color="auto"/>
        <w:right w:val="none" w:sz="0" w:space="0" w:color="auto"/>
      </w:divBdr>
    </w:div>
    <w:div w:id="332998449">
      <w:bodyDiv w:val="1"/>
      <w:marLeft w:val="0"/>
      <w:marRight w:val="0"/>
      <w:marTop w:val="0"/>
      <w:marBottom w:val="0"/>
      <w:divBdr>
        <w:top w:val="none" w:sz="0" w:space="0" w:color="auto"/>
        <w:left w:val="none" w:sz="0" w:space="0" w:color="auto"/>
        <w:bottom w:val="none" w:sz="0" w:space="0" w:color="auto"/>
        <w:right w:val="none" w:sz="0" w:space="0" w:color="auto"/>
      </w:divBdr>
    </w:div>
    <w:div w:id="343440653">
      <w:bodyDiv w:val="1"/>
      <w:marLeft w:val="0"/>
      <w:marRight w:val="0"/>
      <w:marTop w:val="0"/>
      <w:marBottom w:val="0"/>
      <w:divBdr>
        <w:top w:val="none" w:sz="0" w:space="0" w:color="auto"/>
        <w:left w:val="none" w:sz="0" w:space="0" w:color="auto"/>
        <w:bottom w:val="none" w:sz="0" w:space="0" w:color="auto"/>
        <w:right w:val="none" w:sz="0" w:space="0" w:color="auto"/>
      </w:divBdr>
    </w:div>
    <w:div w:id="529030828">
      <w:bodyDiv w:val="1"/>
      <w:marLeft w:val="0"/>
      <w:marRight w:val="0"/>
      <w:marTop w:val="0"/>
      <w:marBottom w:val="0"/>
      <w:divBdr>
        <w:top w:val="none" w:sz="0" w:space="0" w:color="auto"/>
        <w:left w:val="none" w:sz="0" w:space="0" w:color="auto"/>
        <w:bottom w:val="none" w:sz="0" w:space="0" w:color="auto"/>
        <w:right w:val="none" w:sz="0" w:space="0" w:color="auto"/>
      </w:divBdr>
    </w:div>
    <w:div w:id="590166590">
      <w:bodyDiv w:val="1"/>
      <w:marLeft w:val="0"/>
      <w:marRight w:val="0"/>
      <w:marTop w:val="0"/>
      <w:marBottom w:val="0"/>
      <w:divBdr>
        <w:top w:val="none" w:sz="0" w:space="0" w:color="auto"/>
        <w:left w:val="none" w:sz="0" w:space="0" w:color="auto"/>
        <w:bottom w:val="none" w:sz="0" w:space="0" w:color="auto"/>
        <w:right w:val="none" w:sz="0" w:space="0" w:color="auto"/>
      </w:divBdr>
    </w:div>
    <w:div w:id="831918673">
      <w:bodyDiv w:val="1"/>
      <w:marLeft w:val="0"/>
      <w:marRight w:val="0"/>
      <w:marTop w:val="0"/>
      <w:marBottom w:val="0"/>
      <w:divBdr>
        <w:top w:val="none" w:sz="0" w:space="0" w:color="auto"/>
        <w:left w:val="none" w:sz="0" w:space="0" w:color="auto"/>
        <w:bottom w:val="none" w:sz="0" w:space="0" w:color="auto"/>
        <w:right w:val="none" w:sz="0" w:space="0" w:color="auto"/>
      </w:divBdr>
    </w:div>
    <w:div w:id="878129596">
      <w:bodyDiv w:val="1"/>
      <w:marLeft w:val="0"/>
      <w:marRight w:val="0"/>
      <w:marTop w:val="0"/>
      <w:marBottom w:val="0"/>
      <w:divBdr>
        <w:top w:val="none" w:sz="0" w:space="0" w:color="auto"/>
        <w:left w:val="none" w:sz="0" w:space="0" w:color="auto"/>
        <w:bottom w:val="none" w:sz="0" w:space="0" w:color="auto"/>
        <w:right w:val="none" w:sz="0" w:space="0" w:color="auto"/>
      </w:divBdr>
    </w:div>
    <w:div w:id="1102140998">
      <w:bodyDiv w:val="1"/>
      <w:marLeft w:val="0"/>
      <w:marRight w:val="0"/>
      <w:marTop w:val="0"/>
      <w:marBottom w:val="0"/>
      <w:divBdr>
        <w:top w:val="none" w:sz="0" w:space="0" w:color="auto"/>
        <w:left w:val="none" w:sz="0" w:space="0" w:color="auto"/>
        <w:bottom w:val="none" w:sz="0" w:space="0" w:color="auto"/>
        <w:right w:val="none" w:sz="0" w:space="0" w:color="auto"/>
      </w:divBdr>
    </w:div>
    <w:div w:id="1104417155">
      <w:bodyDiv w:val="1"/>
      <w:marLeft w:val="0"/>
      <w:marRight w:val="0"/>
      <w:marTop w:val="0"/>
      <w:marBottom w:val="0"/>
      <w:divBdr>
        <w:top w:val="none" w:sz="0" w:space="0" w:color="auto"/>
        <w:left w:val="none" w:sz="0" w:space="0" w:color="auto"/>
        <w:bottom w:val="none" w:sz="0" w:space="0" w:color="auto"/>
        <w:right w:val="none" w:sz="0" w:space="0" w:color="auto"/>
      </w:divBdr>
    </w:div>
    <w:div w:id="1196963410">
      <w:bodyDiv w:val="1"/>
      <w:marLeft w:val="0"/>
      <w:marRight w:val="0"/>
      <w:marTop w:val="0"/>
      <w:marBottom w:val="0"/>
      <w:divBdr>
        <w:top w:val="none" w:sz="0" w:space="0" w:color="auto"/>
        <w:left w:val="none" w:sz="0" w:space="0" w:color="auto"/>
        <w:bottom w:val="none" w:sz="0" w:space="0" w:color="auto"/>
        <w:right w:val="none" w:sz="0" w:space="0" w:color="auto"/>
      </w:divBdr>
    </w:div>
    <w:div w:id="1227180642">
      <w:bodyDiv w:val="1"/>
      <w:marLeft w:val="0"/>
      <w:marRight w:val="0"/>
      <w:marTop w:val="0"/>
      <w:marBottom w:val="0"/>
      <w:divBdr>
        <w:top w:val="none" w:sz="0" w:space="0" w:color="auto"/>
        <w:left w:val="none" w:sz="0" w:space="0" w:color="auto"/>
        <w:bottom w:val="none" w:sz="0" w:space="0" w:color="auto"/>
        <w:right w:val="none" w:sz="0" w:space="0" w:color="auto"/>
      </w:divBdr>
    </w:div>
    <w:div w:id="1271162688">
      <w:bodyDiv w:val="1"/>
      <w:marLeft w:val="0"/>
      <w:marRight w:val="0"/>
      <w:marTop w:val="0"/>
      <w:marBottom w:val="0"/>
      <w:divBdr>
        <w:top w:val="none" w:sz="0" w:space="0" w:color="auto"/>
        <w:left w:val="none" w:sz="0" w:space="0" w:color="auto"/>
        <w:bottom w:val="none" w:sz="0" w:space="0" w:color="auto"/>
        <w:right w:val="none" w:sz="0" w:space="0" w:color="auto"/>
      </w:divBdr>
    </w:div>
    <w:div w:id="1539705582">
      <w:bodyDiv w:val="1"/>
      <w:marLeft w:val="0"/>
      <w:marRight w:val="0"/>
      <w:marTop w:val="0"/>
      <w:marBottom w:val="0"/>
      <w:divBdr>
        <w:top w:val="none" w:sz="0" w:space="0" w:color="auto"/>
        <w:left w:val="none" w:sz="0" w:space="0" w:color="auto"/>
        <w:bottom w:val="none" w:sz="0" w:space="0" w:color="auto"/>
        <w:right w:val="none" w:sz="0" w:space="0" w:color="auto"/>
      </w:divBdr>
    </w:div>
    <w:div w:id="1608153661">
      <w:bodyDiv w:val="1"/>
      <w:marLeft w:val="0"/>
      <w:marRight w:val="0"/>
      <w:marTop w:val="0"/>
      <w:marBottom w:val="0"/>
      <w:divBdr>
        <w:top w:val="none" w:sz="0" w:space="0" w:color="auto"/>
        <w:left w:val="none" w:sz="0" w:space="0" w:color="auto"/>
        <w:bottom w:val="none" w:sz="0" w:space="0" w:color="auto"/>
        <w:right w:val="none" w:sz="0" w:space="0" w:color="auto"/>
      </w:divBdr>
      <w:divsChild>
        <w:div w:id="1850022787">
          <w:marLeft w:val="0"/>
          <w:marRight w:val="0"/>
          <w:marTop w:val="0"/>
          <w:marBottom w:val="0"/>
          <w:divBdr>
            <w:top w:val="none" w:sz="0" w:space="0" w:color="auto"/>
            <w:left w:val="none" w:sz="0" w:space="0" w:color="auto"/>
            <w:bottom w:val="none" w:sz="0" w:space="0" w:color="auto"/>
            <w:right w:val="none" w:sz="0" w:space="0" w:color="auto"/>
          </w:divBdr>
        </w:div>
        <w:div w:id="1851724047">
          <w:marLeft w:val="0"/>
          <w:marRight w:val="0"/>
          <w:marTop w:val="0"/>
          <w:marBottom w:val="0"/>
          <w:divBdr>
            <w:top w:val="none" w:sz="0" w:space="0" w:color="auto"/>
            <w:left w:val="none" w:sz="0" w:space="0" w:color="auto"/>
            <w:bottom w:val="none" w:sz="0" w:space="0" w:color="auto"/>
            <w:right w:val="none" w:sz="0" w:space="0" w:color="auto"/>
          </w:divBdr>
        </w:div>
        <w:div w:id="2086028412">
          <w:marLeft w:val="0"/>
          <w:marRight w:val="0"/>
          <w:marTop w:val="0"/>
          <w:marBottom w:val="0"/>
          <w:divBdr>
            <w:top w:val="none" w:sz="0" w:space="0" w:color="auto"/>
            <w:left w:val="none" w:sz="0" w:space="0" w:color="auto"/>
            <w:bottom w:val="none" w:sz="0" w:space="0" w:color="auto"/>
            <w:right w:val="none" w:sz="0" w:space="0" w:color="auto"/>
          </w:divBdr>
        </w:div>
      </w:divsChild>
    </w:div>
    <w:div w:id="1837375702">
      <w:bodyDiv w:val="1"/>
      <w:marLeft w:val="0"/>
      <w:marRight w:val="0"/>
      <w:marTop w:val="0"/>
      <w:marBottom w:val="0"/>
      <w:divBdr>
        <w:top w:val="none" w:sz="0" w:space="0" w:color="auto"/>
        <w:left w:val="none" w:sz="0" w:space="0" w:color="auto"/>
        <w:bottom w:val="none" w:sz="0" w:space="0" w:color="auto"/>
        <w:right w:val="none" w:sz="0" w:space="0" w:color="auto"/>
      </w:divBdr>
    </w:div>
    <w:div w:id="1855876327">
      <w:bodyDiv w:val="1"/>
      <w:marLeft w:val="0"/>
      <w:marRight w:val="0"/>
      <w:marTop w:val="0"/>
      <w:marBottom w:val="0"/>
      <w:divBdr>
        <w:top w:val="none" w:sz="0" w:space="0" w:color="auto"/>
        <w:left w:val="none" w:sz="0" w:space="0" w:color="auto"/>
        <w:bottom w:val="none" w:sz="0" w:space="0" w:color="auto"/>
        <w:right w:val="none" w:sz="0" w:space="0" w:color="auto"/>
      </w:divBdr>
    </w:div>
    <w:div w:id="1899629896">
      <w:bodyDiv w:val="1"/>
      <w:marLeft w:val="0"/>
      <w:marRight w:val="0"/>
      <w:marTop w:val="0"/>
      <w:marBottom w:val="0"/>
      <w:divBdr>
        <w:top w:val="none" w:sz="0" w:space="0" w:color="auto"/>
        <w:left w:val="none" w:sz="0" w:space="0" w:color="auto"/>
        <w:bottom w:val="none" w:sz="0" w:space="0" w:color="auto"/>
        <w:right w:val="none" w:sz="0" w:space="0" w:color="auto"/>
      </w:divBdr>
    </w:div>
    <w:div w:id="1924024362">
      <w:bodyDiv w:val="1"/>
      <w:marLeft w:val="0"/>
      <w:marRight w:val="0"/>
      <w:marTop w:val="0"/>
      <w:marBottom w:val="0"/>
      <w:divBdr>
        <w:top w:val="none" w:sz="0" w:space="0" w:color="auto"/>
        <w:left w:val="none" w:sz="0" w:space="0" w:color="auto"/>
        <w:bottom w:val="none" w:sz="0" w:space="0" w:color="auto"/>
        <w:right w:val="none" w:sz="0" w:space="0" w:color="auto"/>
      </w:divBdr>
    </w:div>
    <w:div w:id="1954708154">
      <w:bodyDiv w:val="1"/>
      <w:marLeft w:val="0"/>
      <w:marRight w:val="0"/>
      <w:marTop w:val="0"/>
      <w:marBottom w:val="0"/>
      <w:divBdr>
        <w:top w:val="none" w:sz="0" w:space="0" w:color="auto"/>
        <w:left w:val="none" w:sz="0" w:space="0" w:color="auto"/>
        <w:bottom w:val="none" w:sz="0" w:space="0" w:color="auto"/>
        <w:right w:val="none" w:sz="0" w:space="0" w:color="auto"/>
      </w:divBdr>
    </w:div>
    <w:div w:id="1963076358">
      <w:bodyDiv w:val="1"/>
      <w:marLeft w:val="0"/>
      <w:marRight w:val="0"/>
      <w:marTop w:val="0"/>
      <w:marBottom w:val="0"/>
      <w:divBdr>
        <w:top w:val="none" w:sz="0" w:space="0" w:color="auto"/>
        <w:left w:val="none" w:sz="0" w:space="0" w:color="auto"/>
        <w:bottom w:val="none" w:sz="0" w:space="0" w:color="auto"/>
        <w:right w:val="none" w:sz="0" w:space="0" w:color="auto"/>
      </w:divBdr>
    </w:div>
    <w:div w:id="19712026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nduszeeuropejskie.warmia.mazury.pl/artykul/469/wskaznik-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uszeeuropejskie.warmia.mazury.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9BE352E1B4E341BF299F4A9E2A4891" ma:contentTypeVersion="6" ma:contentTypeDescription="Utwórz nowy dokument." ma:contentTypeScope="" ma:versionID="690c6fc1a245f450c1fccc37ffc61c26">
  <xsd:schema xmlns:xsd="http://www.w3.org/2001/XMLSchema" xmlns:xs="http://www.w3.org/2001/XMLSchema" xmlns:p="http://schemas.microsoft.com/office/2006/metadata/properties" xmlns:ns2="f08ba99a-cc74-442d-877b-c5f8e7222f08" xmlns:ns3="f67b9784-41c3-414f-8c9d-0e6290ab0b81" targetNamespace="http://schemas.microsoft.com/office/2006/metadata/properties" ma:root="true" ma:fieldsID="fb1858f60df111e3e81d3dc64100d591" ns2:_="" ns3:_="">
    <xsd:import namespace="f08ba99a-cc74-442d-877b-c5f8e7222f08"/>
    <xsd:import namespace="f67b9784-41c3-414f-8c9d-0e6290ab0b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ba99a-cc74-442d-877b-c5f8e7222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b9784-41c3-414f-8c9d-0e6290ab0b8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E31F-D6EC-4BD1-B55F-EF158CA204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CB69FA-B138-40D4-BA76-30AF06B75438}">
  <ds:schemaRefs>
    <ds:schemaRef ds:uri="http://schemas.microsoft.com/sharepoint/v3/contenttype/forms"/>
  </ds:schemaRefs>
</ds:datastoreItem>
</file>

<file path=customXml/itemProps3.xml><?xml version="1.0" encoding="utf-8"?>
<ds:datastoreItem xmlns:ds="http://schemas.openxmlformats.org/officeDocument/2006/customXml" ds:itemID="{4E306E34-86F9-489B-A8E8-ACBE8350F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ba99a-cc74-442d-877b-c5f8e7222f08"/>
    <ds:schemaRef ds:uri="f67b9784-41c3-414f-8c9d-0e6290ab0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3DC34-1A12-4032-9840-DCDF0E6C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12</Pages>
  <Words>4669</Words>
  <Characters>28017</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Metryka Instrumentu Finansowego. Wzór. Pożyczka rozwojowa z umorzeniem.</vt:lpstr>
    </vt:vector>
  </TitlesOfParts>
  <Company>Bank Gospodarstwa Krajowego</Company>
  <LinksUpToDate>false</LinksUpToDate>
  <CharactersWithSpaces>32621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Metryka Instrumentu Finansowego. Wzór. Pożyczka rozwojowa z umorzeniem.</dc:title>
  <dc:subject/>
  <dc:creator>Baczewski, Jacek</dc:creator>
  <cp:keywords/>
  <dc:description/>
  <cp:lastModifiedBy>Małgorzata Kos</cp:lastModifiedBy>
  <cp:revision>45</cp:revision>
  <cp:lastPrinted>2024-06-17T19:24:00Z</cp:lastPrinted>
  <dcterms:created xsi:type="dcterms:W3CDTF">2024-06-14T12:56:00Z</dcterms:created>
  <dcterms:modified xsi:type="dcterms:W3CDTF">2026-03-06T10:20:00Z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Krzysztof.Lesniak@bgk.pl</vt:lpwstr>
  </property>
  <property fmtid="{D5CDD505-2E9C-101B-9397-08002B2CF9AE}" pid="5" name="MSIP_Label_ffd642cb-f5ac-4f9c-8f91-3377ed972e0d_SetDate">
    <vt:lpwstr>2018-11-14T11:54:27.3499546Z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etDate">
    <vt:lpwstr>2021-11-22T15:34:51Z</vt:lpwstr>
  </property>
  <property fmtid="{D5CDD505-2E9C-101B-9397-08002B2CF9AE}" pid="11" name="MSIP_Label_c668bcff-e2d1-47e2-adc1-b3354af02961_Method">
    <vt:lpwstr>Privileged</vt:lpwstr>
  </property>
  <property fmtid="{D5CDD505-2E9C-101B-9397-08002B2CF9AE}" pid="12" name="MSIP_Label_c668bcff-e2d1-47e2-adc1-b3354af02961_Name">
    <vt:lpwstr>c668bcff-e2d1-47e2-adc1-b3354af02961</vt:lpwstr>
  </property>
  <property fmtid="{D5CDD505-2E9C-101B-9397-08002B2CF9AE}" pid="13" name="MSIP_Label_c668bcff-e2d1-47e2-adc1-b3354af02961_SiteId">
    <vt:lpwstr>29bb5b9c-200a-4906-89ef-c651c86ab301</vt:lpwstr>
  </property>
  <property fmtid="{D5CDD505-2E9C-101B-9397-08002B2CF9AE}" pid="14" name="MSIP_Label_c668bcff-e2d1-47e2-adc1-b3354af02961_ContentBits">
    <vt:lpwstr>0</vt:lpwstr>
  </property>
  <property fmtid="{D5CDD505-2E9C-101B-9397-08002B2CF9AE}" pid="15" name="ContentTypeId">
    <vt:lpwstr>0x010100E99BE352E1B4E341BF299F4A9E2A4891</vt:lpwstr>
  </property>
</Properties>
</file>