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5C23" w14:textId="2533AEA7" w:rsidR="00346CB0" w:rsidRDefault="00346CB0" w:rsidP="00AC3B7C">
      <w:pPr>
        <w:pStyle w:val="Akapitzlist"/>
        <w:spacing w:after="120"/>
        <w:contextualSpacing w:val="0"/>
        <w:jc w:val="right"/>
        <w:rPr>
          <w:i/>
        </w:rPr>
      </w:pPr>
      <w:r w:rsidRPr="003C5575">
        <w:rPr>
          <w:i/>
        </w:rPr>
        <w:t xml:space="preserve">Załącznik </w:t>
      </w:r>
      <w:r w:rsidR="00C0316A">
        <w:rPr>
          <w:i/>
        </w:rPr>
        <w:t>n</w:t>
      </w:r>
      <w:r w:rsidRPr="003C5575">
        <w:rPr>
          <w:i/>
        </w:rPr>
        <w:t xml:space="preserve">r </w:t>
      </w:r>
      <w:r w:rsidR="00C0316A">
        <w:rPr>
          <w:i/>
        </w:rPr>
        <w:t>1</w:t>
      </w:r>
      <w:r w:rsidR="00AC3B7C">
        <w:rPr>
          <w:i/>
        </w:rPr>
        <w:t xml:space="preserve"> </w:t>
      </w:r>
      <w:r w:rsidR="00C0316A">
        <w:rPr>
          <w:i/>
        </w:rPr>
        <w:t xml:space="preserve">do Regulaminu </w:t>
      </w:r>
      <w:r w:rsidR="00AC3B7C">
        <w:rPr>
          <w:i/>
        </w:rPr>
        <w:t>PIO</w:t>
      </w:r>
    </w:p>
    <w:p w14:paraId="1252AF19" w14:textId="77777777" w:rsidR="00AC3B7C" w:rsidRPr="003C5575" w:rsidRDefault="00AC3B7C" w:rsidP="006B26B1">
      <w:pPr>
        <w:pStyle w:val="Akapitzlist"/>
        <w:spacing w:after="120"/>
        <w:ind w:left="0"/>
        <w:contextualSpacing w:val="0"/>
        <w:jc w:val="right"/>
        <w:rPr>
          <w:i/>
        </w:rPr>
      </w:pPr>
    </w:p>
    <w:p w14:paraId="71B64434" w14:textId="77777777" w:rsidR="00346CB0" w:rsidRDefault="00346CB0" w:rsidP="006B26B1">
      <w:pPr>
        <w:pStyle w:val="Akapitzlist"/>
        <w:spacing w:after="120"/>
        <w:ind w:left="0"/>
        <w:contextualSpacing w:val="0"/>
        <w:jc w:val="center"/>
        <w:rPr>
          <w:b/>
        </w:rPr>
      </w:pPr>
    </w:p>
    <w:p w14:paraId="736A8294" w14:textId="45BC0760" w:rsidR="005F3EAE" w:rsidRPr="00F854F4" w:rsidRDefault="00A543DB" w:rsidP="006B26B1">
      <w:pPr>
        <w:pStyle w:val="Akapitzlist"/>
        <w:spacing w:after="120"/>
        <w:ind w:left="0"/>
        <w:contextualSpacing w:val="0"/>
        <w:jc w:val="center"/>
        <w:rPr>
          <w:b/>
        </w:rPr>
      </w:pPr>
      <w:r w:rsidRPr="00F854F4">
        <w:rPr>
          <w:b/>
        </w:rPr>
        <w:t xml:space="preserve">Karta Produktu </w:t>
      </w:r>
      <w:r w:rsidR="001E0E56" w:rsidRPr="00435608">
        <w:rPr>
          <w:b/>
        </w:rPr>
        <w:t xml:space="preserve">Pożyczka </w:t>
      </w:r>
      <w:proofErr w:type="spellStart"/>
      <w:r w:rsidR="001E0E56">
        <w:rPr>
          <w:b/>
        </w:rPr>
        <w:t>Inwestycyjno</w:t>
      </w:r>
      <w:proofErr w:type="spellEnd"/>
      <w:r w:rsidR="001E0E56">
        <w:rPr>
          <w:b/>
        </w:rPr>
        <w:t xml:space="preserve"> – Obrotowa </w:t>
      </w:r>
      <w:r w:rsidR="001E0E56" w:rsidRPr="00F36799">
        <w:rPr>
          <w:b/>
        </w:rPr>
        <w:t>(PIO)</w:t>
      </w:r>
    </w:p>
    <w:p w14:paraId="58204AAB" w14:textId="77777777" w:rsidR="005F3EAE" w:rsidRPr="00F854F4" w:rsidRDefault="005F3EAE" w:rsidP="006B26B1">
      <w:pPr>
        <w:pStyle w:val="Akapitzlist"/>
        <w:spacing w:after="120"/>
        <w:ind w:left="0"/>
        <w:contextualSpacing w:val="0"/>
        <w:jc w:val="both"/>
        <w:rPr>
          <w:b/>
        </w:rPr>
      </w:pPr>
    </w:p>
    <w:p w14:paraId="37F506F7" w14:textId="5973CAB6" w:rsidR="007678C3" w:rsidRPr="00F854F4" w:rsidRDefault="007678C3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F854F4">
        <w:rPr>
          <w:b/>
        </w:rPr>
        <w:t xml:space="preserve">Podstawowe parametry </w:t>
      </w:r>
      <w:r w:rsidR="005F7B39">
        <w:rPr>
          <w:b/>
        </w:rPr>
        <w:t xml:space="preserve">Pożyczki </w:t>
      </w:r>
      <w:proofErr w:type="spellStart"/>
      <w:r w:rsidR="00693CC4">
        <w:rPr>
          <w:b/>
        </w:rPr>
        <w:t>Inwestycyjno</w:t>
      </w:r>
      <w:proofErr w:type="spellEnd"/>
      <w:r w:rsidR="00693CC4">
        <w:rPr>
          <w:b/>
        </w:rPr>
        <w:t xml:space="preserve"> - Obrotowej</w:t>
      </w:r>
    </w:p>
    <w:p w14:paraId="4E19050D" w14:textId="5BB8022F" w:rsidR="007678C3" w:rsidRPr="00F854F4" w:rsidRDefault="007678C3" w:rsidP="006B26B1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Wartość </w:t>
      </w:r>
      <w:r w:rsidR="00D00D62">
        <w:t>Pożyczki</w:t>
      </w:r>
      <w:r w:rsidR="00242BE0" w:rsidRPr="00F854F4">
        <w:t xml:space="preserve"> </w:t>
      </w:r>
      <w:r w:rsidR="005F7B39">
        <w:t xml:space="preserve">wynosi od </w:t>
      </w:r>
      <w:r w:rsidR="009443B8">
        <w:t>10 000</w:t>
      </w:r>
      <w:r w:rsidR="005F7B39">
        <w:t xml:space="preserve"> zł do </w:t>
      </w:r>
      <w:r w:rsidR="00920443">
        <w:t>500 000</w:t>
      </w:r>
      <w:r w:rsidR="005F7B39">
        <w:t xml:space="preserve"> zł</w:t>
      </w:r>
      <w:r w:rsidRPr="00F854F4">
        <w:t>.</w:t>
      </w:r>
    </w:p>
    <w:p w14:paraId="1D6999E5" w14:textId="3E46F4F2" w:rsidR="00875729" w:rsidRPr="00F854F4" w:rsidRDefault="00FD1A3D" w:rsidP="006B26B1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Wkład własny </w:t>
      </w:r>
      <w:r w:rsidR="0069098E">
        <w:t xml:space="preserve">Pożyczkobiorcy </w:t>
      </w:r>
      <w:r w:rsidRPr="00F854F4">
        <w:t>nie jest wymagany.</w:t>
      </w:r>
    </w:p>
    <w:p w14:paraId="7F8CD016" w14:textId="40B6A2DC" w:rsidR="00A51C14" w:rsidRPr="00F854F4" w:rsidRDefault="00A51C14" w:rsidP="006B26B1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Maksymalny termin na wypłatę całkowitej kwoty </w:t>
      </w:r>
      <w:r w:rsidR="00A21B2D">
        <w:t xml:space="preserve">Pożyczki </w:t>
      </w:r>
      <w:r w:rsidR="005F7B39">
        <w:t xml:space="preserve">przez </w:t>
      </w:r>
      <w:r w:rsidR="00D00D62" w:rsidRPr="00F854F4">
        <w:t>[</w:t>
      </w:r>
      <w:r w:rsidR="00D00D62" w:rsidRPr="00F854F4">
        <w:rPr>
          <w:i/>
        </w:rPr>
        <w:t>Nazwa Pośrednika Finansowego</w:t>
      </w:r>
      <w:r w:rsidR="00D00D62" w:rsidRPr="00F854F4">
        <w:t>]</w:t>
      </w:r>
      <w:r w:rsidR="005F7B39">
        <w:t xml:space="preserve"> wynosi </w:t>
      </w:r>
      <w:r w:rsidR="00E70C0A">
        <w:t>30</w:t>
      </w:r>
      <w:r w:rsidR="00E70C0A" w:rsidRPr="00F854F4">
        <w:t xml:space="preserve"> </w:t>
      </w:r>
      <w:r w:rsidRPr="00F854F4">
        <w:t>dni k</w:t>
      </w:r>
      <w:r w:rsidR="00D00D62">
        <w:t>alendarzowych od dnia zawarcia u</w:t>
      </w:r>
      <w:r w:rsidRPr="00F854F4">
        <w:t xml:space="preserve">mowy </w:t>
      </w:r>
      <w:r w:rsidR="00D00D62">
        <w:t>Pożyczki</w:t>
      </w:r>
      <w:r w:rsidRPr="00F854F4">
        <w:t xml:space="preserve">. </w:t>
      </w:r>
    </w:p>
    <w:p w14:paraId="6386264E" w14:textId="50040D57" w:rsidR="00097D21" w:rsidRPr="00F854F4" w:rsidRDefault="00097D21" w:rsidP="006B26B1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Maksymalny okres spłaty </w:t>
      </w:r>
      <w:r w:rsidR="00A21B2D">
        <w:t xml:space="preserve">Pożyczki </w:t>
      </w:r>
      <w:r w:rsidR="005F7B39">
        <w:t xml:space="preserve">nie może być dłuższy niż </w:t>
      </w:r>
      <w:r w:rsidR="00E70C0A">
        <w:t>84</w:t>
      </w:r>
      <w:r w:rsidRPr="00F854F4">
        <w:t xml:space="preserve"> miesi</w:t>
      </w:r>
      <w:r w:rsidR="00E70C0A">
        <w:t>ą</w:t>
      </w:r>
      <w:r w:rsidRPr="00F854F4">
        <w:t>c</w:t>
      </w:r>
      <w:r w:rsidR="00E70C0A">
        <w:t>e</w:t>
      </w:r>
      <w:r w:rsidR="00AE7DAF" w:rsidRPr="00F854F4">
        <w:t>, od momentu jej uruchomienia</w:t>
      </w:r>
      <w:r w:rsidR="00854DE4" w:rsidRPr="00F854F4">
        <w:t xml:space="preserve">, tj. wypłaty jakiejkolwiek kwoty </w:t>
      </w:r>
      <w:r w:rsidR="00A21B2D">
        <w:t>Pożyczki</w:t>
      </w:r>
      <w:r w:rsidRPr="00F854F4">
        <w:t>.</w:t>
      </w:r>
    </w:p>
    <w:p w14:paraId="2C787C11" w14:textId="51B0740C" w:rsidR="00CC1E53" w:rsidRPr="00F854F4" w:rsidRDefault="00CC1E53" w:rsidP="006B26B1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</w:pPr>
      <w:r w:rsidRPr="00F854F4">
        <w:t xml:space="preserve">Maksymalna karencja w spłacie </w:t>
      </w:r>
      <w:r w:rsidR="00346CB0">
        <w:t xml:space="preserve">kapitału </w:t>
      </w:r>
      <w:r w:rsidR="00A21B2D">
        <w:t xml:space="preserve">Pożyczki </w:t>
      </w:r>
      <w:r w:rsidR="005F7B39">
        <w:t xml:space="preserve">wynosi </w:t>
      </w:r>
      <w:r w:rsidR="00057A08">
        <w:t>12</w:t>
      </w:r>
      <w:r w:rsidRPr="00F854F4">
        <w:t xml:space="preserve"> miesięcy</w:t>
      </w:r>
      <w:r w:rsidR="006856FE" w:rsidRPr="00F854F4">
        <w:t xml:space="preserve"> od dnia jej uruchomienia</w:t>
      </w:r>
      <w:r w:rsidRPr="00F854F4">
        <w:t xml:space="preserve">, przy czym karencja nie wydłuża okresu spłaty </w:t>
      </w:r>
      <w:r w:rsidR="00A21B2D">
        <w:t>Pożyczki</w:t>
      </w:r>
      <w:r w:rsidR="00A51C14" w:rsidRPr="00F854F4">
        <w:t>.</w:t>
      </w:r>
      <w:r w:rsidR="00BB28F7">
        <w:t xml:space="preserve"> </w:t>
      </w:r>
    </w:p>
    <w:p w14:paraId="2E4B2D9B" w14:textId="77777777" w:rsidR="001465A3" w:rsidRPr="00F854F4" w:rsidRDefault="001465A3" w:rsidP="006B26B1">
      <w:pPr>
        <w:pStyle w:val="Akapitzlist"/>
        <w:spacing w:after="120"/>
        <w:ind w:left="0"/>
        <w:contextualSpacing w:val="0"/>
        <w:jc w:val="both"/>
        <w:rPr>
          <w:b/>
        </w:rPr>
      </w:pPr>
    </w:p>
    <w:p w14:paraId="15216030" w14:textId="7960D223" w:rsidR="001465A3" w:rsidRPr="00F854F4" w:rsidRDefault="00FD1A3D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F854F4">
        <w:rPr>
          <w:b/>
        </w:rPr>
        <w:t>Z</w:t>
      </w:r>
      <w:r w:rsidR="005F3EAE" w:rsidRPr="00F854F4">
        <w:rPr>
          <w:b/>
        </w:rPr>
        <w:t>asady dotyczące</w:t>
      </w:r>
      <w:r w:rsidR="001465A3" w:rsidRPr="00F854F4">
        <w:rPr>
          <w:b/>
        </w:rPr>
        <w:t xml:space="preserve"> udzielania</w:t>
      </w:r>
      <w:r w:rsidR="00417A9B" w:rsidRPr="00F854F4">
        <w:rPr>
          <w:b/>
        </w:rPr>
        <w:t xml:space="preserve"> i udokumentowania</w:t>
      </w:r>
      <w:r w:rsidR="001465A3" w:rsidRPr="00F854F4">
        <w:rPr>
          <w:b/>
        </w:rPr>
        <w:t xml:space="preserve"> </w:t>
      </w:r>
      <w:r w:rsidR="00A21B2D">
        <w:rPr>
          <w:b/>
        </w:rPr>
        <w:t xml:space="preserve">Pożyczki </w:t>
      </w:r>
      <w:proofErr w:type="spellStart"/>
      <w:r w:rsidR="0050030A">
        <w:rPr>
          <w:b/>
        </w:rPr>
        <w:t>Inwestycyjno</w:t>
      </w:r>
      <w:proofErr w:type="spellEnd"/>
      <w:r w:rsidR="0050030A">
        <w:rPr>
          <w:b/>
        </w:rPr>
        <w:t xml:space="preserve"> - Obrotowej</w:t>
      </w:r>
    </w:p>
    <w:p w14:paraId="209729E3" w14:textId="126A8A7E" w:rsidR="001465A3" w:rsidRPr="00F854F4" w:rsidRDefault="001465A3" w:rsidP="006B26B1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F854F4">
        <w:t xml:space="preserve">Udzielenie </w:t>
      </w:r>
      <w:r w:rsidR="00A21B2D">
        <w:t xml:space="preserve">Pożyczki </w:t>
      </w:r>
      <w:r w:rsidRPr="00F854F4">
        <w:t xml:space="preserve">nie może być uzależnione od zawarcia przez </w:t>
      </w:r>
      <w:r w:rsidR="0069098E">
        <w:t xml:space="preserve">Pożyczkobiorcę </w:t>
      </w:r>
      <w:r w:rsidRPr="00F854F4">
        <w:t>dodatkowych umów (w szczególności dotyczących zakupu dodatkowych usług</w:t>
      </w:r>
      <w:r w:rsidR="00EE07F6" w:rsidRPr="00F854F4">
        <w:t xml:space="preserve">, </w:t>
      </w:r>
      <w:r w:rsidR="002612FF" w:rsidRPr="00F854F4">
        <w:t>produktów finansowych lub ubezpieczeniowych</w:t>
      </w:r>
      <w:r w:rsidRPr="00F854F4">
        <w:t xml:space="preserve">) z </w:t>
      </w:r>
      <w:r w:rsidR="00FD1A3D" w:rsidRPr="00F854F4">
        <w:t>[</w:t>
      </w:r>
      <w:r w:rsidR="00FD1A3D" w:rsidRPr="00F854F4">
        <w:rPr>
          <w:i/>
        </w:rPr>
        <w:t>Nazwa Pośrednika Finansowego</w:t>
      </w:r>
      <w:r w:rsidR="00FD1A3D" w:rsidRPr="00F854F4">
        <w:t xml:space="preserve">] </w:t>
      </w:r>
      <w:r w:rsidRPr="00F854F4">
        <w:t xml:space="preserve">lub podmiotem partnerskim lub powiązanym w stosunku do </w:t>
      </w:r>
      <w:r w:rsidR="00FD1A3D" w:rsidRPr="00F854F4">
        <w:t>[</w:t>
      </w:r>
      <w:r w:rsidR="00FD1A3D" w:rsidRPr="00F854F4">
        <w:rPr>
          <w:i/>
        </w:rPr>
        <w:t>Nazwa Pośrednika Finansowego</w:t>
      </w:r>
      <w:r w:rsidR="00FD1A3D" w:rsidRPr="00F854F4">
        <w:t>]</w:t>
      </w:r>
      <w:r w:rsidRPr="00F854F4">
        <w:t xml:space="preserve">; powyższe nie dotyczy </w:t>
      </w:r>
      <w:r w:rsidR="003408A3" w:rsidRPr="00F854F4">
        <w:t xml:space="preserve">powszechnie występujących na rynku oraz standardowo stosowanych przez </w:t>
      </w:r>
      <w:r w:rsidR="00FD1A3D" w:rsidRPr="00F854F4">
        <w:t>[</w:t>
      </w:r>
      <w:r w:rsidR="00FD1A3D" w:rsidRPr="00F854F4">
        <w:rPr>
          <w:i/>
        </w:rPr>
        <w:t>Nazwa Pośrednika Finansowego</w:t>
      </w:r>
      <w:r w:rsidR="00FD1A3D" w:rsidRPr="00F854F4">
        <w:t xml:space="preserve">] </w:t>
      </w:r>
      <w:r w:rsidRPr="00F854F4">
        <w:t xml:space="preserve">zabezpieczeń ustanawianych przez </w:t>
      </w:r>
      <w:r w:rsidR="0069098E">
        <w:t xml:space="preserve">Pożyczkobiorcę </w:t>
      </w:r>
      <w:r w:rsidRPr="00F854F4">
        <w:t xml:space="preserve">na rzecz </w:t>
      </w:r>
      <w:r w:rsidR="00FD1A3D" w:rsidRPr="00F854F4">
        <w:t>[</w:t>
      </w:r>
      <w:r w:rsidR="00FD1A3D" w:rsidRPr="00F854F4">
        <w:rPr>
          <w:i/>
        </w:rPr>
        <w:t>Nazwa Pośrednika Finansowego</w:t>
      </w:r>
      <w:r w:rsidR="00FD1A3D" w:rsidRPr="00F854F4">
        <w:t xml:space="preserve">] </w:t>
      </w:r>
      <w:r w:rsidRPr="00F854F4">
        <w:t>w</w:t>
      </w:r>
      <w:r w:rsidR="00C36827">
        <w:t> </w:t>
      </w:r>
      <w:r w:rsidRPr="00F854F4">
        <w:t xml:space="preserve">związku z zawieraną umową </w:t>
      </w:r>
      <w:r w:rsidR="00A21B2D">
        <w:t>Pożyczki</w:t>
      </w:r>
      <w:r w:rsidR="00B904C3" w:rsidRPr="00F854F4">
        <w:t xml:space="preserve">, z zastrzeżeniem, iż w przypadku zabezpieczenia takiego jak „cesja praw z polisy ubezpieczeniowej” </w:t>
      </w:r>
      <w:r w:rsidR="0069098E">
        <w:t xml:space="preserve">Pożyczkobiorca </w:t>
      </w:r>
      <w:r w:rsidR="00B904C3" w:rsidRPr="00F854F4">
        <w:t>ma</w:t>
      </w:r>
      <w:r w:rsidR="003C5575">
        <w:t> </w:t>
      </w:r>
      <w:r w:rsidR="00B904C3" w:rsidRPr="00F854F4">
        <w:t>możliwość wyboru oferty spośród ubezpieczycieli dostępnych na rynku.</w:t>
      </w:r>
    </w:p>
    <w:p w14:paraId="570C6081" w14:textId="102D1474" w:rsidR="00FD2C5B" w:rsidRDefault="005F7B39" w:rsidP="006B26B1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CB2422">
        <w:t>Wydatkowanie środków Pożyczki musi zostać należycie udokumentowane w</w:t>
      </w:r>
      <w:r>
        <w:t> </w:t>
      </w:r>
      <w:r w:rsidR="006E6C0F">
        <w:t xml:space="preserve">terminie do </w:t>
      </w:r>
      <w:r w:rsidR="00AD742B">
        <w:t>180</w:t>
      </w:r>
      <w:r w:rsidR="00AD742B" w:rsidRPr="00CB2422">
        <w:t xml:space="preserve"> </w:t>
      </w:r>
      <w:r w:rsidRPr="00CB2422">
        <w:t xml:space="preserve">dni od </w:t>
      </w:r>
      <w:r w:rsidRPr="00DF3D76">
        <w:t>dnia wypłaty całkowitej kwoty Pożyczki</w:t>
      </w:r>
      <w:r>
        <w:t>, przy czym termin ten dotyczy daty wystawienia dokumentów potwierdzających wydatkowanie środków</w:t>
      </w:r>
      <w:r w:rsidRPr="00CB2422">
        <w:t xml:space="preserve">. W uzasadnionych przypadkach, na wniosek </w:t>
      </w:r>
      <w:r w:rsidR="0069098E">
        <w:t xml:space="preserve">Pożyczkobiorcy </w:t>
      </w:r>
      <w:r w:rsidR="00FD2C5B" w:rsidRPr="00F854F4">
        <w:t>[</w:t>
      </w:r>
      <w:r w:rsidR="00FD2C5B" w:rsidRPr="00F854F4">
        <w:rPr>
          <w:i/>
        </w:rPr>
        <w:t>Nazwa Pośrednika Finansowego</w:t>
      </w:r>
      <w:r w:rsidR="00FD2C5B" w:rsidRPr="00F854F4">
        <w:t>]</w:t>
      </w:r>
      <w:r w:rsidRPr="00CB2422">
        <w:t xml:space="preserve"> może zaakceptować wydłużenie tego terminu</w:t>
      </w:r>
      <w:r w:rsidR="006E6C0F">
        <w:t xml:space="preserve"> maksymalnie o kolejne </w:t>
      </w:r>
      <w:r w:rsidR="00AD742B">
        <w:t>90</w:t>
      </w:r>
      <w:r w:rsidRPr="00CB2422">
        <w:t xml:space="preserve"> dni ze względu na charakter inwestycji. </w:t>
      </w:r>
    </w:p>
    <w:p w14:paraId="3C773000" w14:textId="2435F0EC" w:rsidR="006E6C0F" w:rsidRDefault="005F7B39" w:rsidP="006B26B1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CB2422">
        <w:t>Dokumentem potwierdzającym wydatkowanie środków zgodnie z celem, na jaki zostały przyznane jest faktura lub dokument równoważny w rozumieniu przepisów prawa krajowego</w:t>
      </w:r>
      <w:r w:rsidR="009674CB">
        <w:t xml:space="preserve">, </w:t>
      </w:r>
      <w:r w:rsidR="009674CB" w:rsidRPr="00D41963">
        <w:t xml:space="preserve">wystawiony nie wcześniej niż w dniu złożenia wniosku o udzielenie </w:t>
      </w:r>
      <w:r w:rsidR="00AB48B4">
        <w:t>Pożyczki</w:t>
      </w:r>
      <w:r w:rsidR="00674F4F">
        <w:t>, wraz z dowodem zapłaty</w:t>
      </w:r>
      <w:r w:rsidR="009674CB" w:rsidRPr="00D41963">
        <w:t xml:space="preserve">. </w:t>
      </w:r>
      <w:r w:rsidR="00AB48B4">
        <w:t>Pożyczkodawca</w:t>
      </w:r>
      <w:r w:rsidR="009674CB" w:rsidRPr="00D41963">
        <w:t xml:space="preserve"> może przyjąć do rozliczenia dokument potwierdzający wydatkowanie </w:t>
      </w:r>
      <w:r w:rsidR="00AB48B4">
        <w:t>Pożyczki</w:t>
      </w:r>
      <w:r w:rsidR="009674CB" w:rsidRPr="00D41963">
        <w:t xml:space="preserve"> wystawiony z datą wcześniejszą, pod warunkiem, że pozyska on wiarygodne dowody, że przedstawiony dokument nie został opłacony przed dniem złożenia wniosku o udzielenie Pożyczki</w:t>
      </w:r>
      <w:r w:rsidRPr="00CB2422">
        <w:t>.</w:t>
      </w:r>
    </w:p>
    <w:p w14:paraId="17F02770" w14:textId="77777777" w:rsidR="00674F4F" w:rsidRDefault="00674F4F" w:rsidP="00674F4F">
      <w:pPr>
        <w:pStyle w:val="Akapitzlist"/>
        <w:numPr>
          <w:ilvl w:val="0"/>
          <w:numId w:val="12"/>
        </w:numPr>
        <w:spacing w:after="120" w:line="23" w:lineRule="atLeast"/>
        <w:ind w:left="360"/>
        <w:contextualSpacing w:val="0"/>
        <w:jc w:val="both"/>
      </w:pPr>
      <w:r>
        <w:lastRenderedPageBreak/>
        <w:t xml:space="preserve">W przypadku dokonywania w ramach Inwestycji płatności w formie gotówkowej, płatności takie dokonywane są z poszanowaniem art. 19 Ustawy z dnia 30 marca 2018 r. Prawo przedsiębiorców lub aktu zastępującego. </w:t>
      </w:r>
    </w:p>
    <w:p w14:paraId="0026BE3E" w14:textId="40C75952" w:rsidR="006E6C0F" w:rsidRDefault="006E6C0F" w:rsidP="006B26B1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>
        <w:t xml:space="preserve">Wszelka dokumentacja potwierdzająca wydatkowanie środków przez </w:t>
      </w:r>
      <w:r w:rsidR="0069098E">
        <w:t xml:space="preserve">Pożyczkobiorcę </w:t>
      </w:r>
      <w:r>
        <w:t>powinna być, co do</w:t>
      </w:r>
      <w:r w:rsidRPr="00265E3C">
        <w:t xml:space="preserve"> zasady, sporządzona w języku polskim, a w przypadku dokumentów wystawianych w języku</w:t>
      </w:r>
      <w:r>
        <w:t xml:space="preserve"> innym niż język polski, powinna zostać </w:t>
      </w:r>
      <w:r w:rsidRPr="00265E3C">
        <w:t xml:space="preserve">przetłumaczona na język polski przez </w:t>
      </w:r>
      <w:r w:rsidR="0069098E">
        <w:t xml:space="preserve">Pożyczkobiorcę </w:t>
      </w:r>
      <w:r>
        <w:t>lub na jego zlecenie.</w:t>
      </w:r>
    </w:p>
    <w:p w14:paraId="55C4FFD3" w14:textId="2FC32606" w:rsidR="001465A3" w:rsidRDefault="001465A3" w:rsidP="006B26B1">
      <w:pPr>
        <w:pStyle w:val="Akapitzlist"/>
        <w:spacing w:after="120"/>
        <w:ind w:left="0"/>
        <w:contextualSpacing w:val="0"/>
        <w:jc w:val="both"/>
        <w:rPr>
          <w:b/>
        </w:rPr>
      </w:pPr>
    </w:p>
    <w:p w14:paraId="426424DE" w14:textId="77777777" w:rsidR="005D1585" w:rsidRDefault="005D1585" w:rsidP="005D1585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>
        <w:rPr>
          <w:b/>
        </w:rPr>
        <w:t>Cesja wierzytelności i zabezpieczeń</w:t>
      </w:r>
    </w:p>
    <w:p w14:paraId="16E7217C" w14:textId="77777777" w:rsidR="005D1585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>
        <w:t>Pożyczkobiorca przyjmuje do wiadomości, że Pożyczkodawca dokonał przelewu na rzecz Banku Gospodarstwa Krajowego wierzytelności Pożyczkodawcy z tytułu zawartej przez Pożyczkobiorcę umowy pożyczki oraz ustanowionych przez niego zabezpieczeń.</w:t>
      </w:r>
    </w:p>
    <w:p w14:paraId="3BFC4B71" w14:textId="2C764E4E" w:rsidR="005D1585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>
        <w:t>Przelew wierzytelności Pożyczkobiorcy na rzecz Banku Gospodarstwa Krajowego dokonany został z</w:t>
      </w:r>
      <w:r w:rsidR="00C36827">
        <w:t> </w:t>
      </w:r>
      <w:r>
        <w:t>tzw. warunkiem zawieszającym, tj. skutek prawny tego przelewu, wystąpi z chwilą zajścia okoliczności określonych w umowie zawartej pomiędzy Pożyczkodawcą a Bankiem Gospodarstwa Krajowego, o czym Pożyczkobiorca poinformowany zostanie przez Pożyczkodawcę lub przez Bank Gospodarstwa Krajowego w drodze pisemnej.</w:t>
      </w:r>
    </w:p>
    <w:p w14:paraId="58E70D22" w14:textId="06441A71" w:rsidR="005D1585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proofErr w:type="gramStart"/>
      <w:r>
        <w:t>Zawiadomienie</w:t>
      </w:r>
      <w:proofErr w:type="gramEnd"/>
      <w:r>
        <w:t xml:space="preserve"> o którym mowa w pkt. 2 powyżej zawierało będzie informacje dotyczące w</w:t>
      </w:r>
      <w:r w:rsidR="00C36827">
        <w:t> </w:t>
      </w:r>
      <w:r>
        <w:t>szczególności obowiązku spłaty przez Pożyczkobiorcę rat kapitałowych i odsetek wynikających z</w:t>
      </w:r>
      <w:r w:rsidR="00C36827">
        <w:t> </w:t>
      </w:r>
      <w:r>
        <w:t>harmonogramu spłat jak i innych płatności wynikających z umowy pożyczki, na nowy rachunek wskazany przez Bank Gospodarstwa Krajowego.</w:t>
      </w:r>
    </w:p>
    <w:p w14:paraId="6C9691FD" w14:textId="32EFBE73" w:rsidR="005D1585" w:rsidRPr="005D1585" w:rsidRDefault="005D1585" w:rsidP="005D1585">
      <w:pPr>
        <w:pStyle w:val="Akapitzlist"/>
        <w:numPr>
          <w:ilvl w:val="0"/>
          <w:numId w:val="36"/>
        </w:numPr>
        <w:ind w:left="426"/>
        <w:jc w:val="both"/>
      </w:pPr>
      <w:r>
        <w:t>Bank Gospodarstwa Krajowego ma prawo do dokonania dalszych przelewów wymienionych powyżej wierzytelności wraz z zabezpieczeniami na inny podmiot.</w:t>
      </w:r>
    </w:p>
    <w:p w14:paraId="508B8070" w14:textId="77777777" w:rsidR="005D1585" w:rsidRPr="00F854F4" w:rsidRDefault="005D1585" w:rsidP="006B26B1">
      <w:pPr>
        <w:pStyle w:val="Akapitzlist"/>
        <w:spacing w:after="120"/>
        <w:ind w:left="0"/>
        <w:contextualSpacing w:val="0"/>
        <w:jc w:val="both"/>
        <w:rPr>
          <w:b/>
        </w:rPr>
      </w:pPr>
    </w:p>
    <w:p w14:paraId="4AF2C08B" w14:textId="4FC00CA0" w:rsidR="00EC07BB" w:rsidRPr="00817FA8" w:rsidRDefault="00EC07BB" w:rsidP="00286687">
      <w:pPr>
        <w:pStyle w:val="Akapitzlist"/>
        <w:keepNext/>
        <w:numPr>
          <w:ilvl w:val="0"/>
          <w:numId w:val="13"/>
        </w:numPr>
        <w:spacing w:after="120"/>
        <w:contextualSpacing w:val="0"/>
        <w:jc w:val="both"/>
        <w:rPr>
          <w:b/>
        </w:rPr>
      </w:pPr>
      <w:r>
        <w:rPr>
          <w:b/>
        </w:rPr>
        <w:t>Przeznaczenie</w:t>
      </w:r>
      <w:r w:rsidRPr="00817FA8">
        <w:rPr>
          <w:b/>
        </w:rPr>
        <w:t xml:space="preserve"> finansowania</w:t>
      </w:r>
      <w:r>
        <w:rPr>
          <w:b/>
        </w:rPr>
        <w:t xml:space="preserve"> (Cele Inwestycji)</w:t>
      </w:r>
    </w:p>
    <w:p w14:paraId="13131199" w14:textId="77777777" w:rsidR="00AD742B" w:rsidRPr="00E154E1" w:rsidRDefault="00AD742B" w:rsidP="00AD742B">
      <w:pPr>
        <w:numPr>
          <w:ilvl w:val="0"/>
          <w:numId w:val="31"/>
        </w:numPr>
        <w:spacing w:before="40" w:after="40" w:line="240" w:lineRule="auto"/>
        <w:ind w:left="426"/>
        <w:jc w:val="both"/>
        <w:rPr>
          <w:rFonts w:eastAsia="Times New Roman"/>
          <w:iCs/>
          <w:lang w:eastAsia="pl-PL"/>
        </w:rPr>
      </w:pPr>
      <w:r w:rsidRPr="00E154E1">
        <w:rPr>
          <w:rFonts w:eastAsia="Times New Roman"/>
          <w:iCs/>
          <w:lang w:eastAsia="pl-PL"/>
        </w:rPr>
        <w:t>W ramach instrumentu finansowane będą</w:t>
      </w:r>
      <w:r>
        <w:rPr>
          <w:rFonts w:eastAsia="Times New Roman"/>
          <w:iCs/>
          <w:lang w:eastAsia="pl-PL"/>
        </w:rPr>
        <w:t>:</w:t>
      </w:r>
    </w:p>
    <w:p w14:paraId="5D96D420" w14:textId="77777777" w:rsidR="00AD742B" w:rsidRPr="00E154E1" w:rsidRDefault="00AD742B" w:rsidP="00AD742B">
      <w:pPr>
        <w:numPr>
          <w:ilvl w:val="0"/>
          <w:numId w:val="37"/>
        </w:numPr>
        <w:autoSpaceDN w:val="0"/>
        <w:spacing w:before="40" w:after="40" w:line="240" w:lineRule="auto"/>
        <w:ind w:left="709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inwestycje związane z koniecznością dostosowania się do nowych warunków rynkowych m.in. inwestycje w nieruchomości</w:t>
      </w:r>
      <w:r w:rsidRPr="00F36799">
        <w:rPr>
          <w:rFonts w:eastAsia="Times New Roman"/>
          <w:iCs/>
          <w:lang w:eastAsia="pl-PL"/>
        </w:rPr>
        <w:t>, zakup sprzętu/maszyn/urządzeń, zakup</w:t>
      </w:r>
      <w:r>
        <w:rPr>
          <w:rFonts w:eastAsia="Times New Roman"/>
          <w:iCs/>
          <w:lang w:eastAsia="pl-PL"/>
        </w:rPr>
        <w:t xml:space="preserve"> środków trwałych, procesy i narzędzia teleinformatyczne;</w:t>
      </w:r>
    </w:p>
    <w:p w14:paraId="15BFA5FA" w14:textId="77777777" w:rsidR="009B2B9B" w:rsidRPr="00E154E1" w:rsidRDefault="009B2B9B" w:rsidP="009B2B9B">
      <w:pPr>
        <w:numPr>
          <w:ilvl w:val="0"/>
          <w:numId w:val="44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aktywa obrotowe do 50% wartości Jednostkowej Pożyczki, w postaci zapasów, towarów, materiałów, produktów gotowych, półproduktów, produktów w toku, zaliczek na dostawy krótkoterminowe.</w:t>
      </w:r>
    </w:p>
    <w:p w14:paraId="5781C7D8" w14:textId="3B62A0B1" w:rsidR="00BB6F08" w:rsidRPr="006717E1" w:rsidRDefault="00BB6F08" w:rsidP="00BB6F08">
      <w:pPr>
        <w:numPr>
          <w:ilvl w:val="0"/>
          <w:numId w:val="31"/>
        </w:numPr>
        <w:spacing w:before="40" w:after="40"/>
        <w:ind w:left="426"/>
        <w:jc w:val="both"/>
        <w:rPr>
          <w:rFonts w:eastAsia="Times New Roman"/>
          <w:iCs/>
          <w:lang w:eastAsia="pl-PL"/>
        </w:rPr>
      </w:pPr>
      <w:r w:rsidRPr="00E154E1">
        <w:rPr>
          <w:iCs/>
          <w:lang w:eastAsia="pl-PL"/>
        </w:rPr>
        <w:t>Środki z Pożyczki</w:t>
      </w:r>
      <w:r w:rsidR="00A35358">
        <w:rPr>
          <w:iCs/>
          <w:lang w:eastAsia="pl-PL"/>
        </w:rPr>
        <w:t xml:space="preserve"> </w:t>
      </w:r>
      <w:r w:rsidR="003D2106" w:rsidRPr="00E154E1">
        <w:rPr>
          <w:iCs/>
          <w:lang w:eastAsia="pl-PL"/>
        </w:rPr>
        <w:t>przeznaczone</w:t>
      </w:r>
      <w:r w:rsidR="003D2106">
        <w:rPr>
          <w:iCs/>
          <w:lang w:eastAsia="pl-PL"/>
        </w:rPr>
        <w:t xml:space="preserve"> </w:t>
      </w:r>
      <w:r w:rsidR="009B2B9B">
        <w:rPr>
          <w:iCs/>
          <w:lang w:eastAsia="pl-PL"/>
        </w:rPr>
        <w:t xml:space="preserve">są </w:t>
      </w:r>
      <w:r w:rsidR="003D2106">
        <w:rPr>
          <w:iCs/>
          <w:lang w:eastAsia="pl-PL"/>
        </w:rPr>
        <w:t>wyłącznie na</w:t>
      </w:r>
      <w:r>
        <w:rPr>
          <w:iCs/>
          <w:lang w:eastAsia="pl-PL"/>
        </w:rPr>
        <w:t xml:space="preserve">: </w:t>
      </w:r>
    </w:p>
    <w:p w14:paraId="28DC894E" w14:textId="77777777" w:rsidR="00BB6F08" w:rsidRPr="00AA5242" w:rsidRDefault="00BB6F08" w:rsidP="00BB6F08">
      <w:pPr>
        <w:numPr>
          <w:ilvl w:val="0"/>
          <w:numId w:val="42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 w:rsidRPr="006717E1">
        <w:rPr>
          <w:rFonts w:eastAsia="Times New Roman"/>
          <w:iCs/>
          <w:lang w:eastAsia="pl-PL"/>
        </w:rPr>
        <w:t>przedsięwzięcia z obszaru inteligentnej specjalizacji województwa warmińsko – mazurskiego „żywność wysokiej jakości”</w:t>
      </w:r>
      <w:r>
        <w:rPr>
          <w:rFonts w:eastAsia="Times New Roman"/>
          <w:iCs/>
          <w:lang w:eastAsia="pl-PL"/>
        </w:rPr>
        <w:t>;</w:t>
      </w:r>
    </w:p>
    <w:p w14:paraId="2F8C3507" w14:textId="77777777" w:rsidR="00BB6F08" w:rsidRPr="00CC1B2E" w:rsidRDefault="00BB6F08" w:rsidP="00BB6F08">
      <w:pPr>
        <w:autoSpaceDE w:val="0"/>
        <w:autoSpaceDN w:val="0"/>
        <w:adjustRightInd w:val="0"/>
        <w:spacing w:after="80"/>
        <w:ind w:left="708" w:firstLine="12"/>
        <w:jc w:val="both"/>
        <w:rPr>
          <w:rFonts w:cs="Calibri"/>
        </w:rPr>
      </w:pPr>
      <w:r w:rsidRPr="00CC1B2E">
        <w:t>Poprzez inwestycje w ramach powyższ</w:t>
      </w:r>
      <w:r>
        <w:t>ej</w:t>
      </w:r>
      <w:r w:rsidRPr="00CC1B2E">
        <w:t xml:space="preserve"> inteligentn</w:t>
      </w:r>
      <w:r>
        <w:t>ej</w:t>
      </w:r>
      <w:r w:rsidRPr="00CC1B2E">
        <w:t xml:space="preserve"> specjalizacji należy rozumieć takie, które muszą spełnić co najmniej dwa z poniższych warunków łącznie:</w:t>
      </w:r>
    </w:p>
    <w:p w14:paraId="30DB1028" w14:textId="77777777" w:rsidR="00BB6F08" w:rsidRPr="00A461DB" w:rsidRDefault="00BB6F08" w:rsidP="00BB6F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 w:line="320" w:lineRule="atLeast"/>
        <w:ind w:left="709"/>
        <w:jc w:val="both"/>
        <w:rPr>
          <w:rFonts w:cs="Calibri"/>
        </w:rPr>
      </w:pPr>
      <w:r w:rsidRPr="00A461DB">
        <w:rPr>
          <w:rFonts w:cs="Calibri"/>
        </w:rPr>
        <w:t>wpływ na eliminowanie negatywnego wpływu zagrożeń i/lub wpływ na wykorzystanie szans zdiagnozowanych w analizie SWOT</w:t>
      </w:r>
      <w:r w:rsidRPr="00A461DB">
        <w:rPr>
          <w:rStyle w:val="Odwoanieprzypisudolnego"/>
          <w:rFonts w:cs="Calibri"/>
        </w:rPr>
        <w:footnoteReference w:id="1"/>
      </w:r>
      <w:r w:rsidRPr="00A461DB">
        <w:rPr>
          <w:rFonts w:cs="Calibri"/>
        </w:rPr>
        <w:t xml:space="preserve"> dla inteligentnej specjalizacji</w:t>
      </w:r>
      <w:r>
        <w:rPr>
          <w:rFonts w:cs="Calibri"/>
        </w:rPr>
        <w:t xml:space="preserve"> „żywność wysokiej jakości”</w:t>
      </w:r>
      <w:r w:rsidRPr="00A461DB">
        <w:rPr>
          <w:rFonts w:cs="Calibri"/>
        </w:rPr>
        <w:t>,</w:t>
      </w:r>
    </w:p>
    <w:p w14:paraId="5F07945D" w14:textId="77777777" w:rsidR="00BB6F08" w:rsidRPr="00A461DB" w:rsidRDefault="00BB6F08" w:rsidP="00BB6F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 w:line="320" w:lineRule="atLeast"/>
        <w:ind w:left="709"/>
        <w:jc w:val="both"/>
        <w:rPr>
          <w:rFonts w:cs="Calibri"/>
        </w:rPr>
      </w:pPr>
      <w:r w:rsidRPr="00A461DB">
        <w:rPr>
          <w:rFonts w:cs="Calibri"/>
        </w:rPr>
        <w:lastRenderedPageBreak/>
        <w:t xml:space="preserve">wpływ na wzmocnienie silnych stron i/lub eliminację słabych stron zdiagnozowanych </w:t>
      </w:r>
      <w:r>
        <w:rPr>
          <w:rFonts w:cs="Calibri"/>
        </w:rPr>
        <w:br/>
      </w:r>
      <w:r w:rsidRPr="00A461DB">
        <w:rPr>
          <w:rFonts w:cs="Calibri"/>
        </w:rPr>
        <w:t xml:space="preserve">w analizie SWOT dla inteligentnej specjalizacji </w:t>
      </w:r>
      <w:r>
        <w:rPr>
          <w:rFonts w:cs="Calibri"/>
        </w:rPr>
        <w:t>„żywność wysokiej jakości”</w:t>
      </w:r>
      <w:r w:rsidRPr="00A461DB">
        <w:rPr>
          <w:rFonts w:cs="Calibri"/>
        </w:rPr>
        <w:t>,</w:t>
      </w:r>
    </w:p>
    <w:p w14:paraId="40D398B7" w14:textId="77777777" w:rsidR="00BB6F08" w:rsidRPr="00A461DB" w:rsidRDefault="00BB6F08" w:rsidP="00BB6F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 w:line="320" w:lineRule="atLeast"/>
        <w:ind w:left="709"/>
        <w:jc w:val="both"/>
        <w:rPr>
          <w:rFonts w:cs="Calibri"/>
        </w:rPr>
      </w:pPr>
      <w:r w:rsidRPr="00A461DB">
        <w:rPr>
          <w:rFonts w:cs="Calibri"/>
        </w:rPr>
        <w:t>dyfuzję wyników projektu na więcej niż jeden podmiot działający w obszarze  inteligentnej specjalizacji</w:t>
      </w:r>
      <w:r>
        <w:rPr>
          <w:rFonts w:cs="Calibri"/>
        </w:rPr>
        <w:t xml:space="preserve"> „żywność wysokiej jakości”</w:t>
      </w:r>
      <w:r w:rsidRPr="00A461DB">
        <w:rPr>
          <w:rFonts w:cs="Calibri"/>
        </w:rPr>
        <w:t>,</w:t>
      </w:r>
    </w:p>
    <w:p w14:paraId="109671A9" w14:textId="77777777" w:rsidR="00BB6F08" w:rsidRPr="00A461DB" w:rsidRDefault="00BB6F08" w:rsidP="00BB6F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 w:line="320" w:lineRule="atLeast"/>
        <w:ind w:left="709"/>
        <w:jc w:val="both"/>
        <w:rPr>
          <w:rFonts w:cs="Calibri"/>
        </w:rPr>
      </w:pPr>
      <w:r w:rsidRPr="00A461DB">
        <w:rPr>
          <w:rFonts w:cs="Calibri"/>
        </w:rPr>
        <w:t>stworzenie w wyniku projektu możliwości eksportowych w ramach  specjalizacji</w:t>
      </w:r>
      <w:r>
        <w:rPr>
          <w:rFonts w:cs="Calibri"/>
        </w:rPr>
        <w:t xml:space="preserve"> „żywność wysokiej jakości”</w:t>
      </w:r>
      <w:r w:rsidRPr="00A461DB">
        <w:rPr>
          <w:rFonts w:cs="Calibri"/>
        </w:rPr>
        <w:t xml:space="preserve"> i/lub generowanie potencjalnego wzrostu współpracy w europejskich łańcuchach wartości,</w:t>
      </w:r>
    </w:p>
    <w:p w14:paraId="76931750" w14:textId="77777777" w:rsidR="00BB6F08" w:rsidRPr="007A245C" w:rsidRDefault="00BB6F08" w:rsidP="00BB6F08">
      <w:pPr>
        <w:numPr>
          <w:ilvl w:val="0"/>
          <w:numId w:val="41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 w:rsidRPr="00A461DB">
        <w:rPr>
          <w:rFonts w:cs="Calibri"/>
        </w:rPr>
        <w:t xml:space="preserve">wpływ na kreowanie współpracy pomiędzy środowiskiem naukowym, biznesowym, otoczeniem biznesu, administracją w obrębie </w:t>
      </w:r>
      <w:r>
        <w:rPr>
          <w:rFonts w:cs="Calibri"/>
        </w:rPr>
        <w:t xml:space="preserve">inteligentnej </w:t>
      </w:r>
      <w:r w:rsidRPr="00A461DB">
        <w:rPr>
          <w:rFonts w:cs="Calibri"/>
        </w:rPr>
        <w:t xml:space="preserve"> specjalizac</w:t>
      </w:r>
      <w:r>
        <w:rPr>
          <w:rFonts w:cs="Calibri"/>
        </w:rPr>
        <w:t>ji „żywność wysokiej jakości” w wyniku realizacji projektu.</w:t>
      </w:r>
    </w:p>
    <w:p w14:paraId="03F25DBD" w14:textId="77777777" w:rsidR="00BB6F08" w:rsidRDefault="00BB6F08" w:rsidP="00BB6F08">
      <w:pPr>
        <w:autoSpaceDN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 xml:space="preserve">lub </w:t>
      </w:r>
    </w:p>
    <w:p w14:paraId="0402D0F0" w14:textId="77777777" w:rsidR="00BB6F08" w:rsidRPr="006717E1" w:rsidRDefault="00BB6F08" w:rsidP="00BB6F08">
      <w:pPr>
        <w:numPr>
          <w:ilvl w:val="0"/>
          <w:numId w:val="42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 w:rsidRPr="006717E1">
        <w:rPr>
          <w:rFonts w:eastAsia="Times New Roman"/>
          <w:iCs/>
          <w:lang w:eastAsia="pl-PL"/>
        </w:rPr>
        <w:t>przedsięwzięcia przedsiębiorstw działających w branżach</w:t>
      </w:r>
      <w:r w:rsidRPr="006B2FD1">
        <w:rPr>
          <w:rFonts w:eastAsia="Times New Roman"/>
          <w:vertAlign w:val="superscript"/>
        </w:rPr>
        <w:footnoteReference w:id="2"/>
      </w:r>
      <w:r w:rsidRPr="006717E1">
        <w:rPr>
          <w:rFonts w:eastAsia="Times New Roman"/>
          <w:iCs/>
          <w:lang w:eastAsia="pl-PL"/>
        </w:rPr>
        <w:t xml:space="preserve"> dotkniętych skutkami COVID – 19 o</w:t>
      </w:r>
      <w:r>
        <w:rPr>
          <w:rFonts w:eastAsia="Times New Roman"/>
          <w:iCs/>
          <w:lang w:eastAsia="pl-PL"/>
        </w:rPr>
        <w:t> </w:t>
      </w:r>
      <w:r w:rsidRPr="006717E1">
        <w:rPr>
          <w:rFonts w:eastAsia="Times New Roman"/>
          <w:iCs/>
          <w:lang w:eastAsia="pl-PL"/>
        </w:rPr>
        <w:t>PKD:</w:t>
      </w:r>
    </w:p>
    <w:p w14:paraId="7B164048" w14:textId="77777777" w:rsidR="00BB6F08" w:rsidRDefault="00BB6F08" w:rsidP="00BB6F08">
      <w:pPr>
        <w:autoSpaceDN w:val="0"/>
        <w:spacing w:before="40" w:after="40" w:line="240" w:lineRule="auto"/>
        <w:ind w:left="993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Turystyka:</w:t>
      </w:r>
    </w:p>
    <w:p w14:paraId="1FACF3BC" w14:textId="77777777" w:rsidR="00BB6F08" w:rsidRDefault="00BB6F08" w:rsidP="00BB6F08">
      <w:pPr>
        <w:numPr>
          <w:ilvl w:val="0"/>
          <w:numId w:val="38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Dział 55 – Zakwaterowanie, tj.</w:t>
      </w:r>
    </w:p>
    <w:p w14:paraId="490F243A" w14:textId="77777777" w:rsidR="00BB6F08" w:rsidRDefault="00BB6F08" w:rsidP="00BB6F08">
      <w:pPr>
        <w:numPr>
          <w:ilvl w:val="0"/>
          <w:numId w:val="39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Podklasa 55.10.Z Hotele i podobne obiekty zakwaterowania</w:t>
      </w:r>
      <w:r w:rsidRPr="00AA5242">
        <w:rPr>
          <w:rFonts w:eastAsia="Times New Roman"/>
          <w:iCs/>
          <w:lang w:eastAsia="pl-PL"/>
        </w:rPr>
        <w:t>;</w:t>
      </w:r>
    </w:p>
    <w:p w14:paraId="64ED8FFF" w14:textId="77777777" w:rsidR="00BB6F08" w:rsidRDefault="00BB6F08" w:rsidP="00BB6F08">
      <w:pPr>
        <w:numPr>
          <w:ilvl w:val="0"/>
          <w:numId w:val="39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Podklasa 55.20.Z Obiekty noclegowe turystyczne i miejsca krótkotrwałego zakwaterowania;</w:t>
      </w:r>
    </w:p>
    <w:p w14:paraId="08BA1C0E" w14:textId="77777777" w:rsidR="00BB6F08" w:rsidRDefault="00BB6F08" w:rsidP="00BB6F08">
      <w:pPr>
        <w:numPr>
          <w:ilvl w:val="0"/>
          <w:numId w:val="39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Podklasa 55.30.Z Pola kempingowe;</w:t>
      </w:r>
    </w:p>
    <w:p w14:paraId="66D30692" w14:textId="77777777" w:rsidR="00BB6F08" w:rsidRDefault="00BB6F08" w:rsidP="00BB6F08">
      <w:pPr>
        <w:numPr>
          <w:ilvl w:val="0"/>
          <w:numId w:val="39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Podklasa 55.90.Z Pozostałe zakwaterowanie.</w:t>
      </w:r>
    </w:p>
    <w:p w14:paraId="48B005CD" w14:textId="77777777" w:rsidR="00BB6F08" w:rsidRDefault="00BB6F08" w:rsidP="00BB6F08">
      <w:pPr>
        <w:numPr>
          <w:ilvl w:val="0"/>
          <w:numId w:val="38"/>
        </w:numPr>
        <w:autoSpaceDN w:val="0"/>
        <w:spacing w:before="40" w:after="40" w:line="240" w:lineRule="auto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Dział 79 – Działalność organizatorów turystyki, pośredników i agentów turystycznych oraz pozostała działalność usługowa w zakresie rezerwacji i działalności z nią związane.</w:t>
      </w:r>
    </w:p>
    <w:p w14:paraId="23DB5F7E" w14:textId="77777777" w:rsidR="00BB6F08" w:rsidRDefault="00BB6F08" w:rsidP="00BB6F08">
      <w:pPr>
        <w:autoSpaceDN w:val="0"/>
        <w:spacing w:before="40" w:after="40" w:line="240" w:lineRule="auto"/>
        <w:ind w:left="993"/>
        <w:jc w:val="both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Gastronomia:</w:t>
      </w:r>
    </w:p>
    <w:p w14:paraId="1172521A" w14:textId="0ABC9906" w:rsidR="00BB6F08" w:rsidRDefault="00BB6F08" w:rsidP="00A35358">
      <w:pPr>
        <w:pStyle w:val="Akapitzlist"/>
        <w:ind w:left="156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 xml:space="preserve">- </w:t>
      </w:r>
      <w:r w:rsidRPr="00A35358">
        <w:rPr>
          <w:rFonts w:eastAsia="Times New Roman"/>
          <w:iCs/>
          <w:lang w:eastAsia="pl-PL"/>
        </w:rPr>
        <w:t>Podklasa 56.10.A Restauracje i inne stałe placówki gastronomiczne;</w:t>
      </w:r>
    </w:p>
    <w:p w14:paraId="3C8E8363" w14:textId="4D25F16A" w:rsidR="000F0392" w:rsidRDefault="00BB6F08" w:rsidP="00A35358">
      <w:pPr>
        <w:pStyle w:val="Akapitzlist"/>
        <w:ind w:left="1560"/>
        <w:rPr>
          <w:lang w:eastAsia="pl-PL"/>
        </w:rPr>
      </w:pPr>
      <w:r>
        <w:rPr>
          <w:rFonts w:eastAsia="Times New Roman"/>
          <w:iCs/>
          <w:lang w:eastAsia="pl-PL"/>
        </w:rPr>
        <w:t xml:space="preserve">- </w:t>
      </w:r>
      <w:r w:rsidRPr="00D40518">
        <w:rPr>
          <w:rFonts w:eastAsia="Times New Roman"/>
          <w:iCs/>
          <w:lang w:eastAsia="pl-PL"/>
        </w:rPr>
        <w:t>Podklasa 56.30.Z Przygotowywanie i podawanie napojów.</w:t>
      </w:r>
    </w:p>
    <w:p w14:paraId="1A7199E9" w14:textId="6F5926B2" w:rsidR="009B2B9B" w:rsidRPr="00AE113F" w:rsidRDefault="009B2B9B" w:rsidP="009B2B9B">
      <w:pPr>
        <w:numPr>
          <w:ilvl w:val="0"/>
          <w:numId w:val="31"/>
        </w:numPr>
        <w:spacing w:before="40" w:after="40"/>
        <w:ind w:left="426"/>
        <w:jc w:val="both"/>
      </w:pPr>
      <w:r>
        <w:t>Ze środków Pożyczki finansowane są inwestycje realizowane na terenie województwa warmińsko – mazurskiego.</w:t>
      </w:r>
    </w:p>
    <w:p w14:paraId="132A3E5D" w14:textId="6BDBB48D" w:rsidR="009B2B9B" w:rsidRPr="0097411B" w:rsidRDefault="009B2B9B" w:rsidP="009B2B9B">
      <w:pPr>
        <w:numPr>
          <w:ilvl w:val="0"/>
          <w:numId w:val="31"/>
        </w:numPr>
        <w:spacing w:before="40" w:after="40"/>
        <w:ind w:left="426"/>
        <w:jc w:val="both"/>
        <w:rPr>
          <w:iCs/>
          <w:lang w:eastAsia="pl-PL"/>
        </w:rPr>
      </w:pPr>
      <w:r w:rsidRPr="00D41963">
        <w:rPr>
          <w:iCs/>
          <w:lang w:eastAsia="pl-PL"/>
        </w:rPr>
        <w:t xml:space="preserve">Pożyczka może finansować do 100% </w:t>
      </w:r>
      <w:r>
        <w:rPr>
          <w:iCs/>
          <w:lang w:eastAsia="pl-PL"/>
        </w:rPr>
        <w:t xml:space="preserve">wydatków  w ramach </w:t>
      </w:r>
      <w:r w:rsidRPr="00D41963">
        <w:rPr>
          <w:iCs/>
          <w:lang w:eastAsia="pl-PL"/>
        </w:rPr>
        <w:t xml:space="preserve">Inwestycji </w:t>
      </w:r>
      <w:r>
        <w:rPr>
          <w:iCs/>
          <w:lang w:eastAsia="pl-PL"/>
        </w:rPr>
        <w:t>Pożyczkobiorcy</w:t>
      </w:r>
      <w:r w:rsidRPr="00D41963">
        <w:rPr>
          <w:iCs/>
          <w:lang w:eastAsia="pl-PL"/>
        </w:rPr>
        <w:t>.</w:t>
      </w:r>
    </w:p>
    <w:p w14:paraId="56A72A89" w14:textId="519B5E4F" w:rsidR="009B2B9B" w:rsidRPr="00D41963" w:rsidRDefault="009B2B9B" w:rsidP="009B2B9B">
      <w:pPr>
        <w:numPr>
          <w:ilvl w:val="0"/>
          <w:numId w:val="31"/>
        </w:numPr>
        <w:spacing w:before="40" w:after="40"/>
        <w:ind w:left="426"/>
        <w:jc w:val="both"/>
        <w:rPr>
          <w:iCs/>
          <w:lang w:eastAsia="pl-PL"/>
        </w:rPr>
      </w:pPr>
      <w:r w:rsidRPr="00D41963">
        <w:rPr>
          <w:iCs/>
          <w:lang w:eastAsia="pl-PL"/>
        </w:rPr>
        <w:t>Z Pożyczki finansowane są wydatki w kwotach brutto tj. z podatkiem VAT, bez względu na to czy Ostateczny Odbiorca ma prawną możliwość odzyskania naliczonego podatku VAT.</w:t>
      </w:r>
    </w:p>
    <w:p w14:paraId="34E5FC3B" w14:textId="2FABFC7E" w:rsidR="00685F1A" w:rsidRPr="00685F1A" w:rsidRDefault="009B2B9B" w:rsidP="009B2B9B">
      <w:pPr>
        <w:keepNext/>
        <w:numPr>
          <w:ilvl w:val="0"/>
          <w:numId w:val="31"/>
        </w:numPr>
        <w:spacing w:before="120" w:after="120"/>
        <w:ind w:left="426" w:hanging="357"/>
        <w:jc w:val="both"/>
        <w:rPr>
          <w:rFonts w:ascii="Calibri" w:eastAsia="Calibri" w:hAnsi="Calibri" w:cs="Times New Roman"/>
          <w:iCs/>
          <w:lang w:eastAsia="pl-PL"/>
        </w:rPr>
      </w:pPr>
      <w:r>
        <w:t>Finansowanie z Pożyczki można łączyć w ramach tego samego wydatku z innym finansowaniem, w tym finansowaniem z EFSI w formie dotacji lub instrumentów finansowych pod warunkiem, że finansowanie w ramach wszystkich połączonych form wsparcia nie przekracza całkowitej kwoty tego wydatku oraz spełnione są wszystkie mające zastosowanie zasady dotyczące pomocy państwa.</w:t>
      </w:r>
    </w:p>
    <w:p w14:paraId="1DE8D720" w14:textId="77777777" w:rsidR="000F0392" w:rsidRPr="00174500" w:rsidRDefault="000F0392" w:rsidP="00E9225B">
      <w:pPr>
        <w:spacing w:after="0"/>
        <w:jc w:val="both"/>
      </w:pPr>
    </w:p>
    <w:p w14:paraId="21C965B1" w14:textId="7F76EEA4" w:rsidR="00614CDD" w:rsidRPr="006B26B1" w:rsidRDefault="00614CDD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6B26B1">
        <w:rPr>
          <w:b/>
        </w:rPr>
        <w:t>Wykluczenia z finansowania</w:t>
      </w:r>
    </w:p>
    <w:p w14:paraId="464EFFD5" w14:textId="19354AA8" w:rsidR="00614CDD" w:rsidRPr="006B26B1" w:rsidRDefault="00112915" w:rsidP="006B26B1">
      <w:pPr>
        <w:pStyle w:val="Akapitzlist"/>
        <w:numPr>
          <w:ilvl w:val="0"/>
          <w:numId w:val="29"/>
        </w:numPr>
        <w:spacing w:after="120"/>
        <w:ind w:left="426" w:hanging="426"/>
        <w:contextualSpacing w:val="0"/>
        <w:jc w:val="both"/>
      </w:pPr>
      <w:r>
        <w:t>Środki z Pożyczki nie mogą być przeznaczone na:</w:t>
      </w:r>
    </w:p>
    <w:p w14:paraId="4021D5DE" w14:textId="77777777" w:rsidR="00D40518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9E160B">
        <w:lastRenderedPageBreak/>
        <w:t>finansowanie wydatków pokrytych uprzednio ze środków EFSI, z innych funduszy, programów, środków i instrumentów Unii Europejskiej lub innych źródeł pomocy krajowej lub zagranicznej</w:t>
      </w:r>
      <w:r w:rsidRPr="00E154E1">
        <w:t>;</w:t>
      </w:r>
    </w:p>
    <w:p w14:paraId="6D167140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>
        <w:t>prefinansowanie wydatków, na które otrzymano dofinansowanie w formie dotacji lub pomocy zwrotnej;</w:t>
      </w:r>
    </w:p>
    <w:p w14:paraId="110388A8" w14:textId="4723E6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 xml:space="preserve">refinansowanie </w:t>
      </w:r>
      <w:r>
        <w:t>całości lub części wydatków</w:t>
      </w:r>
      <w:r w:rsidRPr="00E154E1">
        <w:t xml:space="preserve">, które </w:t>
      </w:r>
      <w:r>
        <w:t xml:space="preserve">na dzień złożenia wniosku </w:t>
      </w:r>
      <w:r>
        <w:br/>
        <w:t>o udzielenie Pożyczki zostały już poniesione (tj. opłacone)</w:t>
      </w:r>
      <w:r w:rsidRPr="00E154E1">
        <w:t>;</w:t>
      </w:r>
    </w:p>
    <w:p w14:paraId="4F9E57CB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refinansowanie jakichkolwiek pożyczek, kredytów lub rat leasingowych;</w:t>
      </w:r>
    </w:p>
    <w:p w14:paraId="089ADA85" w14:textId="38F714EA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 xml:space="preserve">dokonanie spłaty zobowiązań </w:t>
      </w:r>
      <w:proofErr w:type="spellStart"/>
      <w:r w:rsidRPr="00E154E1">
        <w:t>publiczno</w:t>
      </w:r>
      <w:proofErr w:type="spellEnd"/>
      <w:r>
        <w:t xml:space="preserve"> </w:t>
      </w:r>
      <w:r w:rsidR="0025429A">
        <w:t>–</w:t>
      </w:r>
      <w:r>
        <w:t xml:space="preserve"> </w:t>
      </w:r>
      <w:r w:rsidRPr="00E154E1">
        <w:t>prawnych</w:t>
      </w:r>
      <w:r w:rsidR="0025429A">
        <w:t xml:space="preserve"> </w:t>
      </w:r>
      <w:r w:rsidR="003D2106">
        <w:t>Pożyczkobiorcy</w:t>
      </w:r>
      <w:r w:rsidRPr="00E154E1">
        <w:t>;</w:t>
      </w:r>
    </w:p>
    <w:p w14:paraId="37BDD6A4" w14:textId="77777777" w:rsidR="00D40518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 xml:space="preserve">finansowanie wydatków niezwiązanych bezpośrednio z Celem Inwestycji określonym </w:t>
      </w:r>
      <w:r>
        <w:br/>
      </w:r>
      <w:r w:rsidRPr="00E154E1">
        <w:t>w</w:t>
      </w:r>
      <w:r>
        <w:t> </w:t>
      </w:r>
      <w:r w:rsidRPr="00E154E1">
        <w:t>pkt. IV powyżej;</w:t>
      </w:r>
    </w:p>
    <w:p w14:paraId="08E01F82" w14:textId="77777777" w:rsidR="00D40518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>
        <w:t>finansowanie zakupu aktywów finansowych przeznaczonych do obrotu;</w:t>
      </w:r>
    </w:p>
    <w:p w14:paraId="19256E1C" w14:textId="77777777" w:rsidR="00D40518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>
        <w:t>finansowanie zakupu nieruchomości przeznaczonych do obrotu lub stanowiących lokatę kapitału;</w:t>
      </w:r>
    </w:p>
    <w:p w14:paraId="4BFDDE45" w14:textId="77777777" w:rsidR="00D40518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>
        <w:t>finansowanie środków transportu;</w:t>
      </w:r>
    </w:p>
    <w:p w14:paraId="6544DC73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finansowanie kształcenia, szkolenia, szkolenia zawodowego pracowników lub innych przedsięwzięć bezpośrednio objętych zakresem rozporządzenia Parlamentu Europejskiego i Rady (UE) nr 1304/2013 w sprawie Europejskiego Funduszu Społecznego;</w:t>
      </w:r>
    </w:p>
    <w:p w14:paraId="1DCA0A63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 xml:space="preserve">finansowanie działalności w zakresie wytwarzania, przetwórstwa lub wprowadzania </w:t>
      </w:r>
      <w:r>
        <w:br/>
      </w:r>
      <w:r w:rsidRPr="00E154E1">
        <w:t xml:space="preserve">do obrotu przez producenta lub importera tytoniu i wyrobów tytoniowych; </w:t>
      </w:r>
    </w:p>
    <w:p w14:paraId="6AFD2CF0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finansowanie działalności w zakresie produkcji lub wprowadzania do obrotu przez producenta lub importera treści pornograficznych;</w:t>
      </w:r>
    </w:p>
    <w:p w14:paraId="0DB1DD24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 xml:space="preserve">finansowanie działalności w zakresie obrotu materiałami wybuchowymi, bronią </w:t>
      </w:r>
      <w:r>
        <w:br/>
      </w:r>
      <w:r w:rsidRPr="00E154E1">
        <w:t>i</w:t>
      </w:r>
      <w:r>
        <w:t> </w:t>
      </w:r>
      <w:r w:rsidRPr="00E154E1">
        <w:t>amunicją;</w:t>
      </w:r>
    </w:p>
    <w:p w14:paraId="7B7D5B8E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finansowanie działalności w zakresie gier losowych, zakładów wzajemnych, gier na</w:t>
      </w:r>
      <w:r>
        <w:t> </w:t>
      </w:r>
      <w:r w:rsidRPr="00E154E1">
        <w:t>automatach i gier na automatach o niskich wygranych;</w:t>
      </w:r>
    </w:p>
    <w:p w14:paraId="132E609B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finansowanie działalności w zakresie produkcji lub wprowadzania do obrotu przez producenta lub importera środków odurzających, substancji psychotropowych lub prekursorów;</w:t>
      </w:r>
    </w:p>
    <w:p w14:paraId="753CE443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finansowanie likwidacji lub budowy elektrowni jądrowych;</w:t>
      </w:r>
    </w:p>
    <w:p w14:paraId="3C0DC2E5" w14:textId="77777777" w:rsidR="00D40518" w:rsidRPr="00E154E1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>
        <w:t>finansowanie inwestycji na rzecz redukcji emisji gazów cieplarnianych pochodzących z listy działań wymienionych w załączniku I do dyrektywy 2003/87/WE;</w:t>
      </w:r>
    </w:p>
    <w:p w14:paraId="76FA9C09" w14:textId="77777777" w:rsidR="00D40518" w:rsidRDefault="00D40518" w:rsidP="00D40518">
      <w:pPr>
        <w:pStyle w:val="Akapitzlist"/>
        <w:numPr>
          <w:ilvl w:val="0"/>
          <w:numId w:val="23"/>
        </w:numPr>
        <w:spacing w:after="120" w:line="23" w:lineRule="atLeast"/>
        <w:ind w:left="993" w:hanging="426"/>
        <w:contextualSpacing w:val="0"/>
        <w:jc w:val="both"/>
      </w:pPr>
      <w:r w:rsidRPr="00E154E1" w:rsidDel="00955C73">
        <w:t xml:space="preserve"> </w:t>
      </w:r>
      <w:r w:rsidRPr="00E154E1">
        <w:t>finansowanie inwestycji w infrastrukturę portów lotniczych, chyba że są one związane z</w:t>
      </w:r>
      <w:r>
        <w:t> </w:t>
      </w:r>
      <w:r w:rsidRPr="00E154E1">
        <w:t>ochroną środowiska lub towarzyszą im inwestycje niezbędne do łagodzenia lub ograniczenia ich negatywnego oddziaływania na środowisko.</w:t>
      </w:r>
    </w:p>
    <w:p w14:paraId="2DCF4E58" w14:textId="77777777" w:rsidR="00EC07BB" w:rsidRPr="00B06F32" w:rsidRDefault="00EC07BB" w:rsidP="006B26B1">
      <w:pPr>
        <w:spacing w:after="120"/>
        <w:jc w:val="both"/>
      </w:pPr>
    </w:p>
    <w:p w14:paraId="67C7B005" w14:textId="77777777" w:rsidR="00C94198" w:rsidRPr="00F854F4" w:rsidRDefault="00C94198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F854F4">
        <w:rPr>
          <w:b/>
        </w:rPr>
        <w:t>Ograniczenia w finansowaniu</w:t>
      </w:r>
    </w:p>
    <w:p w14:paraId="72B8A680" w14:textId="6FB4F339" w:rsidR="00CE36D6" w:rsidRDefault="00C94198" w:rsidP="006B26B1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</w:pPr>
      <w:r w:rsidRPr="00F854F4">
        <w:t xml:space="preserve">Finansowanie zakupu gruntów niezabudowanych i zabudowanych w ramach finansowanej inwestycji możliwe jest do wysokości 10 % </w:t>
      </w:r>
      <w:r w:rsidR="00143B24" w:rsidRPr="00F854F4">
        <w:t>środków</w:t>
      </w:r>
      <w:r w:rsidR="002341C7" w:rsidRPr="00F854F4">
        <w:t xml:space="preserve"> </w:t>
      </w:r>
      <w:r w:rsidRPr="00F854F4">
        <w:t>wypłacon</w:t>
      </w:r>
      <w:r w:rsidR="00143B24" w:rsidRPr="00F854F4">
        <w:t>ych</w:t>
      </w:r>
      <w:r w:rsidRPr="00F854F4">
        <w:t xml:space="preserve"> na rzecz </w:t>
      </w:r>
      <w:r w:rsidR="0069098E">
        <w:t>Pożyczkobiorcy</w:t>
      </w:r>
      <w:r w:rsidRPr="00F854F4">
        <w:t>.</w:t>
      </w:r>
    </w:p>
    <w:p w14:paraId="44ED5D26" w14:textId="5658DBDE" w:rsidR="00EC07BB" w:rsidRPr="00F854F4" w:rsidRDefault="00C10DBC" w:rsidP="006B26B1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</w:pPr>
      <w:r w:rsidRPr="00E154E1">
        <w:lastRenderedPageBreak/>
        <w:t xml:space="preserve">Finansowanie </w:t>
      </w:r>
      <w:r>
        <w:t xml:space="preserve"> aktywów obrotowych</w:t>
      </w:r>
      <w:r w:rsidRPr="00E154E1">
        <w:t xml:space="preserve"> jest możliwe wyłącznie do wysokości </w:t>
      </w:r>
      <w:r>
        <w:t xml:space="preserve">nie większej niż </w:t>
      </w:r>
      <w:r w:rsidRPr="00E154E1">
        <w:t xml:space="preserve">50% </w:t>
      </w:r>
      <w:r w:rsidRPr="00CB2422">
        <w:t xml:space="preserve">Pożyczki, przy czym </w:t>
      </w:r>
      <w:r>
        <w:t xml:space="preserve">ich </w:t>
      </w:r>
      <w:r w:rsidRPr="00CB2422">
        <w:t>przeznaczenie jest bezpośrednio związane z realizacją przedsięwzięcia rozwojowego, na które zostało przyznane finansowanie.</w:t>
      </w:r>
    </w:p>
    <w:p w14:paraId="3E51EA9C" w14:textId="74DB4C22" w:rsidR="00905033" w:rsidRPr="00C10DBC" w:rsidRDefault="00905033" w:rsidP="006B26B1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</w:pPr>
      <w:r w:rsidRPr="00F854F4">
        <w:rPr>
          <w:spacing w:val="-2"/>
        </w:rPr>
        <w:t xml:space="preserve">Środki </w:t>
      </w:r>
      <w:r w:rsidR="00A21B2D">
        <w:rPr>
          <w:spacing w:val="-2"/>
        </w:rPr>
        <w:t xml:space="preserve">Pożyczki </w:t>
      </w:r>
      <w:r w:rsidRPr="00F854F4">
        <w:rPr>
          <w:spacing w:val="-2"/>
        </w:rPr>
        <w:t>nie mogą nakładać się finansowaniem z Europejskich Funduszy Strukturalnych i</w:t>
      </w:r>
      <w:r w:rsidR="00C36827">
        <w:rPr>
          <w:spacing w:val="-2"/>
        </w:rPr>
        <w:t> </w:t>
      </w:r>
      <w:r w:rsidRPr="00F854F4">
        <w:rPr>
          <w:spacing w:val="-2"/>
        </w:rPr>
        <w:t>Inwestycyjnych, z innych funduszy, programów, środków i instrumentów Unii Europejskiej, a także innych źródeł pomocy krajowej i zagranicznej.</w:t>
      </w:r>
    </w:p>
    <w:p w14:paraId="1C04A469" w14:textId="4D61D818" w:rsidR="00C10DBC" w:rsidRPr="00F854F4" w:rsidRDefault="00C10DBC" w:rsidP="006B26B1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</w:pPr>
      <w:r>
        <w:t>J</w:t>
      </w:r>
      <w:r w:rsidRPr="00CB2422">
        <w:t xml:space="preserve">eden </w:t>
      </w:r>
      <w:r>
        <w:t>Pożyczkobiorca</w:t>
      </w:r>
      <w:r w:rsidRPr="00CB2422">
        <w:t xml:space="preserve"> może otrzymać </w:t>
      </w:r>
      <w:r>
        <w:t>nie więcej niż jedną Pożyczkę.</w:t>
      </w:r>
    </w:p>
    <w:p w14:paraId="7C1B17D0" w14:textId="77777777" w:rsidR="005F3EAE" w:rsidRPr="00F854F4" w:rsidRDefault="005F3EAE" w:rsidP="006B26B1">
      <w:pPr>
        <w:spacing w:after="120"/>
        <w:ind w:left="426" w:hanging="426"/>
        <w:jc w:val="both"/>
        <w:rPr>
          <w:b/>
          <w:highlight w:val="yellow"/>
        </w:rPr>
      </w:pPr>
    </w:p>
    <w:p w14:paraId="366D8A23" w14:textId="1F29D430" w:rsidR="005C057F" w:rsidRPr="00F854F4" w:rsidRDefault="005C057F" w:rsidP="006B26B1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b/>
        </w:rPr>
      </w:pPr>
      <w:r w:rsidRPr="00F854F4">
        <w:rPr>
          <w:b/>
        </w:rPr>
        <w:t xml:space="preserve">Zasady </w:t>
      </w:r>
      <w:r w:rsidR="00EE07F6" w:rsidRPr="00F854F4">
        <w:rPr>
          <w:b/>
        </w:rPr>
        <w:t xml:space="preserve">odpłatności za udzielenie </w:t>
      </w:r>
      <w:r w:rsidR="0025429A">
        <w:rPr>
          <w:b/>
        </w:rPr>
        <w:t>Pożyczki</w:t>
      </w:r>
    </w:p>
    <w:p w14:paraId="2359390F" w14:textId="150D4B73" w:rsidR="001D353E" w:rsidRPr="00F854F4" w:rsidRDefault="00A21B2D" w:rsidP="006B26B1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t xml:space="preserve">Pożyczka </w:t>
      </w:r>
      <w:r w:rsidR="00EE07F6" w:rsidRPr="00F854F4">
        <w:t>mo</w:t>
      </w:r>
      <w:r w:rsidR="00FD1A3D" w:rsidRPr="00F854F4">
        <w:t>że</w:t>
      </w:r>
      <w:r w:rsidR="00EE07F6" w:rsidRPr="00F854F4">
        <w:t xml:space="preserve"> być </w:t>
      </w:r>
      <w:r w:rsidR="00FD1A3D" w:rsidRPr="00F854F4">
        <w:t>oprocentowana</w:t>
      </w:r>
      <w:r w:rsidR="005C057F" w:rsidRPr="00F854F4">
        <w:t>:</w:t>
      </w:r>
    </w:p>
    <w:p w14:paraId="30EEADD8" w14:textId="139675DE" w:rsidR="00D30604" w:rsidRPr="00F854F4" w:rsidRDefault="00D30604" w:rsidP="006B26B1">
      <w:pPr>
        <w:pStyle w:val="Akapitzlist"/>
        <w:numPr>
          <w:ilvl w:val="0"/>
          <w:numId w:val="15"/>
        </w:numPr>
        <w:spacing w:after="120"/>
        <w:ind w:left="993" w:hanging="426"/>
        <w:contextualSpacing w:val="0"/>
        <w:jc w:val="both"/>
      </w:pPr>
      <w:r w:rsidRPr="00F854F4">
        <w:rPr>
          <w:b/>
        </w:rPr>
        <w:t>na warunkach rynkowych</w:t>
      </w:r>
      <w:r w:rsidRPr="00F854F4">
        <w:t xml:space="preserve">, </w:t>
      </w:r>
      <w:r w:rsidRPr="00F854F4">
        <w:rPr>
          <w:u w:val="single"/>
        </w:rPr>
        <w:t>według stopy referencyjnej</w:t>
      </w:r>
      <w:r w:rsidRPr="00F854F4">
        <w:t xml:space="preserve"> obliczanej przy zastosowaniu obowiązującej stopy bazowej oraz marży ustalonej w oparciu o </w:t>
      </w:r>
      <w:r w:rsidRPr="00F854F4">
        <w:rPr>
          <w:iCs/>
        </w:rPr>
        <w:t>Komunikat Komisji Europejskiej w sprawie zmiany metody ustalania stóp referencyjnych i dyskontowych</w:t>
      </w:r>
      <w:r w:rsidRPr="00F854F4">
        <w:rPr>
          <w:i/>
          <w:iCs/>
        </w:rPr>
        <w:t xml:space="preserve"> </w:t>
      </w:r>
      <w:r w:rsidRPr="00F854F4">
        <w:t>(Dz. Urz. UE C 14 z</w:t>
      </w:r>
      <w:r w:rsidR="00C36827">
        <w:t> </w:t>
      </w:r>
      <w:r w:rsidRPr="00F854F4">
        <w:t xml:space="preserve">19.1.2008 r. lub komunikatu zastępującego) oraz po przeprowadzeniu analizy ryzyka niespłacenia zaciągniętego przez przedsiębiorcę zobowiązania </w:t>
      </w:r>
      <w:r w:rsidRPr="00F854F4">
        <w:rPr>
          <w:bCs/>
        </w:rPr>
        <w:t xml:space="preserve">na podstawie wdrożonej i akceptowanej w sektorze finansowym metodologii wyznaczania współczynnika ryzyka. </w:t>
      </w:r>
    </w:p>
    <w:p w14:paraId="68081929" w14:textId="607A762D" w:rsidR="00A543DB" w:rsidRPr="00F854F4" w:rsidRDefault="00BB66EA" w:rsidP="006B26B1">
      <w:pPr>
        <w:pStyle w:val="Akapitzlist"/>
        <w:spacing w:after="120"/>
        <w:ind w:left="993"/>
        <w:contextualSpacing w:val="0"/>
        <w:jc w:val="both"/>
        <w:rPr>
          <w:b/>
        </w:rPr>
      </w:pPr>
      <w:r w:rsidRPr="00F854F4">
        <w:rPr>
          <w:b/>
        </w:rPr>
        <w:t xml:space="preserve">Stopa bazowa </w:t>
      </w:r>
      <w:r w:rsidR="008D7DD7" w:rsidRPr="00F854F4">
        <w:rPr>
          <w:b/>
        </w:rPr>
        <w:t>publikowana jest</w:t>
      </w:r>
      <w:r w:rsidRPr="00F854F4">
        <w:rPr>
          <w:b/>
        </w:rPr>
        <w:t xml:space="preserve"> przez Komisję</w:t>
      </w:r>
      <w:r w:rsidR="008D7DD7" w:rsidRPr="00F854F4">
        <w:rPr>
          <w:b/>
        </w:rPr>
        <w:t xml:space="preserve"> Europejską w dzienniku Urzędowym Unii Europejskiej i dostępna jest na stronie: </w:t>
      </w:r>
    </w:p>
    <w:p w14:paraId="123A451F" w14:textId="631EC958" w:rsidR="008D7DD7" w:rsidRPr="00F854F4" w:rsidRDefault="00074EDD" w:rsidP="006B26B1">
      <w:pPr>
        <w:pStyle w:val="Akapitzlist"/>
        <w:spacing w:after="120"/>
        <w:ind w:left="993"/>
        <w:contextualSpacing w:val="0"/>
        <w:jc w:val="both"/>
      </w:pPr>
      <w:hyperlink r:id="rId11" w:history="1">
        <w:r w:rsidR="008D7DD7" w:rsidRPr="00F854F4">
          <w:rPr>
            <w:rStyle w:val="Hipercze"/>
          </w:rPr>
          <w:t>http://ec.europa.eu/competition/state_aid/legislation/reference_rates.html</w:t>
        </w:r>
      </w:hyperlink>
    </w:p>
    <w:p w14:paraId="3F3B5441" w14:textId="57D8123B" w:rsidR="008D7DD7" w:rsidRPr="00F854F4" w:rsidRDefault="008D7DD7" w:rsidP="006B26B1">
      <w:pPr>
        <w:pStyle w:val="Akapitzlist"/>
        <w:spacing w:after="120"/>
        <w:ind w:left="993"/>
        <w:contextualSpacing w:val="0"/>
        <w:jc w:val="both"/>
      </w:pPr>
      <w:r w:rsidRPr="00F854F4">
        <w:t>oraz</w:t>
      </w:r>
    </w:p>
    <w:p w14:paraId="2F1F1E3F" w14:textId="4A1FCD36" w:rsidR="008D7DD7" w:rsidRPr="00F854F4" w:rsidRDefault="00074EDD" w:rsidP="006B26B1">
      <w:pPr>
        <w:pStyle w:val="Akapitzlist"/>
        <w:spacing w:after="120"/>
        <w:ind w:left="993"/>
        <w:contextualSpacing w:val="0"/>
        <w:jc w:val="both"/>
      </w:pPr>
      <w:hyperlink r:id="rId12" w:history="1">
        <w:r w:rsidR="008D7DD7" w:rsidRPr="00F854F4">
          <w:rPr>
            <w:rStyle w:val="Hipercze"/>
          </w:rPr>
          <w:t>https://uokik.gov.pl/stopa_referencyjna_i_archiwum.php</w:t>
        </w:r>
      </w:hyperlink>
    </w:p>
    <w:p w14:paraId="3ABEFFAD" w14:textId="30C6E0A2" w:rsidR="008D7DD7" w:rsidRPr="00F854F4" w:rsidRDefault="008D7DD7" w:rsidP="006B26B1">
      <w:pPr>
        <w:spacing w:after="120"/>
        <w:ind w:left="993" w:right="141"/>
        <w:jc w:val="both"/>
      </w:pPr>
    </w:p>
    <w:p w14:paraId="688C7AF9" w14:textId="58A472C1" w:rsidR="00875729" w:rsidRPr="00F854F4" w:rsidRDefault="00EC07BB" w:rsidP="00FB1880">
      <w:pPr>
        <w:numPr>
          <w:ilvl w:val="0"/>
          <w:numId w:val="15"/>
        </w:numPr>
        <w:spacing w:after="120"/>
        <w:ind w:left="993" w:hanging="426"/>
        <w:jc w:val="both"/>
      </w:pPr>
      <w:r w:rsidRPr="00817FA8">
        <w:rPr>
          <w:b/>
        </w:rPr>
        <w:t>na warunkach korzystniejszych niż rynkowe</w:t>
      </w:r>
      <w:r>
        <w:rPr>
          <w:b/>
        </w:rPr>
        <w:t xml:space="preserve">, </w:t>
      </w:r>
      <w:r w:rsidR="001D353E" w:rsidRPr="00F854F4">
        <w:t xml:space="preserve">zgodnie z zasadami udzielania pomocy </w:t>
      </w:r>
      <w:r w:rsidR="001D353E" w:rsidRPr="00EC07BB">
        <w:t xml:space="preserve">de minimis, </w:t>
      </w:r>
      <w:r w:rsidR="001D353E" w:rsidRPr="00F854F4">
        <w:t xml:space="preserve">o których mowa w </w:t>
      </w:r>
      <w:r w:rsidR="001D353E" w:rsidRPr="00EC07BB">
        <w:t xml:space="preserve">Rozporządzeniu Komisji  (UE) nr 1407/2013 z dnia 18 grudnia 2013 r. w sprawie stosowania art. 107 i 108 Traktatu o funkcjonowaniu Unii Europejskiej do pomocy de minimis </w:t>
      </w:r>
      <w:r w:rsidR="001D353E" w:rsidRPr="00F854F4">
        <w:t xml:space="preserve">oraz </w:t>
      </w:r>
      <w:r w:rsidR="001D353E" w:rsidRPr="00EC07BB">
        <w:t xml:space="preserve">Rozporządzenia Ministra </w:t>
      </w:r>
      <w:r w:rsidR="005C057F" w:rsidRPr="00EC07BB">
        <w:t xml:space="preserve">Infrastruktury i </w:t>
      </w:r>
      <w:r w:rsidR="001D353E" w:rsidRPr="00EC07BB">
        <w:t xml:space="preserve">Rozwoju </w:t>
      </w:r>
      <w:r w:rsidR="005C057F" w:rsidRPr="00EC07BB">
        <w:t>z dnia 19 marca 2015 r. w</w:t>
      </w:r>
      <w:r w:rsidR="00C36827">
        <w:t> </w:t>
      </w:r>
      <w:r w:rsidR="005C057F" w:rsidRPr="00EC07BB">
        <w:t>sprawie udzielania pomocy de minimis w ramach regionalnych programów operacyjnych na lata 2014–2020</w:t>
      </w:r>
      <w:r w:rsidR="00675EC4" w:rsidRPr="00EC07BB">
        <w:t xml:space="preserve"> (</w:t>
      </w:r>
      <w:r w:rsidR="00675EC4" w:rsidRPr="00F854F4">
        <w:t>Dz.U. 2015 poz. 488 z późniejszymi zmianami)</w:t>
      </w:r>
      <w:r w:rsidR="005C057F" w:rsidRPr="00F854F4">
        <w:t>.</w:t>
      </w:r>
      <w:r w:rsidR="005C057F" w:rsidRPr="00EC07BB">
        <w:t xml:space="preserve"> </w:t>
      </w:r>
    </w:p>
    <w:p w14:paraId="38820F5C" w14:textId="6703B7C2" w:rsidR="008F1716" w:rsidRDefault="00EC07BB" w:rsidP="00FB1880">
      <w:pPr>
        <w:spacing w:after="120"/>
        <w:ind w:left="993"/>
        <w:jc w:val="both"/>
      </w:pPr>
      <w:r w:rsidRPr="009D5EA3">
        <w:t xml:space="preserve">Oprocentowanie </w:t>
      </w:r>
      <w:r w:rsidR="00A21B2D">
        <w:t xml:space="preserve">Pożyczki </w:t>
      </w:r>
      <w:r w:rsidRPr="009D5EA3">
        <w:t>udzielanej na zasadach korzystniejszych niż rynkowe jest stałe w</w:t>
      </w:r>
      <w:r w:rsidR="00C36827">
        <w:t> </w:t>
      </w:r>
      <w:r w:rsidRPr="009D5EA3">
        <w:t xml:space="preserve">całym okresie jej obowiązywania </w:t>
      </w:r>
      <w:r w:rsidR="00A21B2D">
        <w:t xml:space="preserve">i ustalane jest </w:t>
      </w:r>
      <w:r w:rsidRPr="009D5EA3">
        <w:t>przy zastosowaniu stopy procentowej w</w:t>
      </w:r>
      <w:r w:rsidR="00C36827">
        <w:t> </w:t>
      </w:r>
      <w:r w:rsidRPr="009D5EA3">
        <w:t>wysokości</w:t>
      </w:r>
      <w:r w:rsidR="00A21B2D">
        <w:rPr>
          <w:rFonts w:cs="Times New Roman"/>
          <w:b/>
        </w:rPr>
        <w:t xml:space="preserve"> </w:t>
      </w:r>
      <w:r w:rsidR="00A85423">
        <w:rPr>
          <w:rFonts w:cs="Times New Roman"/>
          <w:b/>
        </w:rPr>
        <w:t xml:space="preserve">50 % </w:t>
      </w:r>
      <w:r w:rsidR="008F1716" w:rsidRPr="00640013">
        <w:rPr>
          <w:rFonts w:cs="Times New Roman"/>
          <w:b/>
        </w:rPr>
        <w:t>stopy bazowej</w:t>
      </w:r>
      <w:r w:rsidR="008F1716">
        <w:rPr>
          <w:rFonts w:cs="Times New Roman"/>
          <w:b/>
        </w:rPr>
        <w:t xml:space="preserve"> </w:t>
      </w:r>
      <w:r w:rsidR="008F1716">
        <w:rPr>
          <w:rFonts w:cs="Times New Roman"/>
        </w:rPr>
        <w:t>dla pożyczek udzielanych w złotych polskich z dnia udzielenia</w:t>
      </w:r>
      <w:r w:rsidR="00A21B2D">
        <w:rPr>
          <w:rFonts w:cs="Times New Roman"/>
        </w:rPr>
        <w:t>,</w:t>
      </w:r>
      <w:r w:rsidR="008F1716" w:rsidRPr="002E2AD7">
        <w:rPr>
          <w:rFonts w:cs="Times New Roman"/>
        </w:rPr>
        <w:t xml:space="preserve"> </w:t>
      </w:r>
      <w:r w:rsidR="008F1716">
        <w:t>przy czym wysokość stopy bazowej określona jest</w:t>
      </w:r>
      <w:r w:rsidR="008F1716" w:rsidRPr="0052116F">
        <w:rPr>
          <w:rFonts w:cs="Times New Roman"/>
        </w:rPr>
        <w:t xml:space="preserve"> przez Komisję Europejską zgodnie z Komunikatem w sprawie zmiany metody ustalania stóp referencyjnych i dyskontowych</w:t>
      </w:r>
      <w:r w:rsidR="008F1716">
        <w:t xml:space="preserve"> </w:t>
      </w:r>
      <w:r w:rsidR="008F1716" w:rsidRPr="0052116F">
        <w:rPr>
          <w:iCs/>
        </w:rPr>
        <w:t xml:space="preserve">nr </w:t>
      </w:r>
      <w:r w:rsidR="008F1716">
        <w:t>2008/C 14/02</w:t>
      </w:r>
      <w:r w:rsidR="008F1716" w:rsidRPr="0052116F">
        <w:rPr>
          <w:iCs/>
        </w:rPr>
        <w:t xml:space="preserve"> o</w:t>
      </w:r>
      <w:r w:rsidR="00C36827">
        <w:rPr>
          <w:iCs/>
        </w:rPr>
        <w:t> </w:t>
      </w:r>
      <w:r w:rsidR="008F1716" w:rsidRPr="0052116F">
        <w:rPr>
          <w:iCs/>
        </w:rPr>
        <w:t xml:space="preserve">którym mowa w </w:t>
      </w:r>
      <w:r w:rsidR="008F1716">
        <w:rPr>
          <w:iCs/>
        </w:rPr>
        <w:t>ppkt</w:t>
      </w:r>
      <w:r w:rsidR="008F1716" w:rsidRPr="0052116F">
        <w:rPr>
          <w:iCs/>
        </w:rPr>
        <w:t xml:space="preserve"> 1)</w:t>
      </w:r>
      <w:r w:rsidR="008F1716">
        <w:rPr>
          <w:iCs/>
        </w:rPr>
        <w:t xml:space="preserve"> powyżej.</w:t>
      </w:r>
    </w:p>
    <w:p w14:paraId="6B6667C0" w14:textId="5A5C7871" w:rsidR="00EC07BB" w:rsidRDefault="00EC07BB" w:rsidP="006B26B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</w:pPr>
      <w:r w:rsidRPr="00EE7D30">
        <w:rPr>
          <w:rFonts w:cs="Times New Roman"/>
        </w:rPr>
        <w:t>W przypadku</w:t>
      </w:r>
      <w:r w:rsidRPr="00FF1CAB">
        <w:t xml:space="preserve"> niespełnienia przez </w:t>
      </w:r>
      <w:r w:rsidR="0069098E">
        <w:t xml:space="preserve">Pożyczkobiorcę </w:t>
      </w:r>
      <w:r w:rsidRPr="00FF1CAB">
        <w:t>jakiegokolwiek z warunków umożliwiających udzielenie pomocy de minimis finansowanie jest udzielane na zasadach rynkowych.</w:t>
      </w:r>
    </w:p>
    <w:p w14:paraId="5895198C" w14:textId="7754CCCC" w:rsidR="00112915" w:rsidRPr="006E0A14" w:rsidRDefault="00EF5F4D" w:rsidP="006E0A1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rPr>
          <w:rFonts w:cs="Times New Roman"/>
        </w:rPr>
      </w:pPr>
      <w:r w:rsidRPr="006E0A14">
        <w:rPr>
          <w:rFonts w:cs="Times New Roman"/>
        </w:rPr>
        <w:lastRenderedPageBreak/>
        <w:t xml:space="preserve">Od środków </w:t>
      </w:r>
      <w:r w:rsidR="00D40685" w:rsidRPr="006E0A14">
        <w:rPr>
          <w:rFonts w:cs="Times New Roman"/>
        </w:rPr>
        <w:t xml:space="preserve">Pożyczki </w:t>
      </w:r>
      <w:r w:rsidRPr="006E0A14">
        <w:rPr>
          <w:rFonts w:cs="Times New Roman"/>
        </w:rPr>
        <w:t xml:space="preserve">nie pobiera się żadnych opłat i prowizji związanych z ich </w:t>
      </w:r>
      <w:r w:rsidR="0055197A" w:rsidRPr="006E0A14">
        <w:rPr>
          <w:rFonts w:cs="Times New Roman"/>
        </w:rPr>
        <w:t>udostępnieniem</w:t>
      </w:r>
      <w:r w:rsidRPr="000D755C">
        <w:rPr>
          <w:rFonts w:cs="Times New Roman"/>
        </w:rPr>
        <w:t xml:space="preserve"> i</w:t>
      </w:r>
      <w:r w:rsidR="00C36827" w:rsidRPr="000D755C">
        <w:rPr>
          <w:rFonts w:cs="Times New Roman"/>
        </w:rPr>
        <w:t> </w:t>
      </w:r>
      <w:r w:rsidRPr="001E0E56">
        <w:rPr>
          <w:rFonts w:cs="Times New Roman"/>
        </w:rPr>
        <w:t xml:space="preserve">obsługą. </w:t>
      </w:r>
      <w:r w:rsidR="005C3022" w:rsidRPr="001E0E56">
        <w:rPr>
          <w:rFonts w:cs="Times New Roman"/>
        </w:rPr>
        <w:t xml:space="preserve">Powyższe nie dotyczy prawa do ewentualnego nakładania na Pożyczkobiorcę obowiązku pokrycia faktycznych kosztów czynności windykacyjnych prowadzonych przez Pożyczkodawcę </w:t>
      </w:r>
      <w:r w:rsidR="00FB1546" w:rsidRPr="001E0E56">
        <w:rPr>
          <w:rFonts w:cs="Times New Roman"/>
        </w:rPr>
        <w:t>oraz kosztów innych niezbędnych działań Pożyczkodawcy spowodowanych nie wywiązywaniem s</w:t>
      </w:r>
      <w:r w:rsidR="00FB1546" w:rsidRPr="00693CC4">
        <w:rPr>
          <w:rFonts w:cs="Times New Roman"/>
        </w:rPr>
        <w:t xml:space="preserve">ię Pożyczkobiorcy z warunków umowy Pożyczki. </w:t>
      </w:r>
    </w:p>
    <w:p w14:paraId="2B97B8E1" w14:textId="77777777" w:rsidR="004E6364" w:rsidRDefault="004E6364" w:rsidP="004E6364">
      <w:pPr>
        <w:tabs>
          <w:tab w:val="num" w:pos="426"/>
        </w:tabs>
        <w:spacing w:after="12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</w:tblGrid>
      <w:tr w:rsidR="004E6364" w14:paraId="292BE5BA" w14:textId="74D682DC" w:rsidTr="004E6364">
        <w:tc>
          <w:tcPr>
            <w:tcW w:w="3212" w:type="dxa"/>
            <w:tcBorders>
              <w:bottom w:val="dotted" w:sz="4" w:space="0" w:color="auto"/>
            </w:tcBorders>
          </w:tcPr>
          <w:p w14:paraId="6F56E2D3" w14:textId="3B36344B" w:rsidR="004E6364" w:rsidRDefault="004E6364" w:rsidP="004E6364">
            <w:pPr>
              <w:tabs>
                <w:tab w:val="num" w:pos="426"/>
              </w:tabs>
              <w:spacing w:after="120"/>
              <w:jc w:val="both"/>
            </w:pPr>
          </w:p>
        </w:tc>
      </w:tr>
      <w:tr w:rsidR="004E6364" w14:paraId="44B09798" w14:textId="4D5A480A" w:rsidTr="004E6364">
        <w:tc>
          <w:tcPr>
            <w:tcW w:w="3212" w:type="dxa"/>
            <w:tcBorders>
              <w:top w:val="dotted" w:sz="4" w:space="0" w:color="auto"/>
            </w:tcBorders>
          </w:tcPr>
          <w:p w14:paraId="1418D8A8" w14:textId="6EC8A22A" w:rsidR="004E6364" w:rsidRPr="004E6364" w:rsidRDefault="004E6364" w:rsidP="00511011">
            <w:pPr>
              <w:tabs>
                <w:tab w:val="num" w:pos="426"/>
              </w:tabs>
              <w:spacing w:after="120"/>
              <w:jc w:val="both"/>
              <w:rPr>
                <w:sz w:val="16"/>
                <w:szCs w:val="16"/>
              </w:rPr>
            </w:pPr>
            <w:r w:rsidRPr="004E6364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Podpis </w:t>
            </w:r>
            <w:r w:rsidR="00511011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pożyczkodawcy</w:t>
            </w:r>
          </w:p>
        </w:tc>
      </w:tr>
    </w:tbl>
    <w:p w14:paraId="014D0978" w14:textId="1B8A84C5" w:rsidR="004E6364" w:rsidRDefault="004E6364" w:rsidP="004E6364">
      <w:pPr>
        <w:tabs>
          <w:tab w:val="num" w:pos="426"/>
        </w:tabs>
        <w:spacing w:after="120"/>
        <w:jc w:val="both"/>
      </w:pPr>
    </w:p>
    <w:p w14:paraId="3B6C3FC7" w14:textId="2C144AF1" w:rsidR="004E6364" w:rsidRDefault="004E6364" w:rsidP="004E6364">
      <w:pPr>
        <w:tabs>
          <w:tab w:val="num" w:pos="426"/>
        </w:tabs>
        <w:spacing w:after="120"/>
        <w:jc w:val="both"/>
      </w:pPr>
    </w:p>
    <w:p w14:paraId="03FBD6B1" w14:textId="3DC4B5B8" w:rsidR="004E6364" w:rsidRDefault="004E6364" w:rsidP="004E6364">
      <w:pPr>
        <w:tabs>
          <w:tab w:val="num" w:pos="426"/>
        </w:tabs>
        <w:spacing w:after="120"/>
        <w:jc w:val="both"/>
      </w:pPr>
      <w:r>
        <w:t>Oświadczam, iż zapoznałem się z treścią niniejszego dokumentu:</w:t>
      </w:r>
    </w:p>
    <w:p w14:paraId="0D02CB34" w14:textId="3E7C2DE8" w:rsidR="004E6364" w:rsidRDefault="004E6364" w:rsidP="004E6364">
      <w:pPr>
        <w:tabs>
          <w:tab w:val="num" w:pos="426"/>
        </w:tabs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</w:tblGrid>
      <w:tr w:rsidR="004E6364" w14:paraId="0E586003" w14:textId="5E72DBF2" w:rsidTr="004E6364"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27FE6C" w14:textId="3CFA03DC" w:rsidR="004E6364" w:rsidRDefault="004E6364" w:rsidP="00972035">
            <w:pPr>
              <w:tabs>
                <w:tab w:val="num" w:pos="426"/>
              </w:tabs>
              <w:spacing w:after="120"/>
              <w:jc w:val="both"/>
            </w:pPr>
          </w:p>
        </w:tc>
      </w:tr>
      <w:tr w:rsidR="004E6364" w14:paraId="03E504F5" w14:textId="4C3AEECC" w:rsidTr="004E6364"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68006B" w14:textId="3D038CBC" w:rsidR="004E6364" w:rsidRPr="004E6364" w:rsidRDefault="004E6364" w:rsidP="003E578E">
            <w:pPr>
              <w:tabs>
                <w:tab w:val="num" w:pos="426"/>
              </w:tabs>
              <w:spacing w:after="120"/>
              <w:jc w:val="both"/>
              <w:rPr>
                <w:sz w:val="16"/>
                <w:szCs w:val="16"/>
              </w:rPr>
            </w:pPr>
            <w:r w:rsidRPr="004E6364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Podpis </w:t>
            </w:r>
            <w:r w:rsidR="003E578E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pożyczkobiorcy</w:t>
            </w:r>
          </w:p>
        </w:tc>
      </w:tr>
    </w:tbl>
    <w:p w14:paraId="42D78444" w14:textId="77777777" w:rsidR="004E6364" w:rsidRPr="00F854F4" w:rsidRDefault="004E6364" w:rsidP="004E6364">
      <w:pPr>
        <w:tabs>
          <w:tab w:val="num" w:pos="426"/>
        </w:tabs>
        <w:spacing w:after="120"/>
        <w:jc w:val="both"/>
      </w:pPr>
    </w:p>
    <w:sectPr w:rsidR="004E6364" w:rsidRPr="00F854F4" w:rsidSect="006B26B1">
      <w:headerReference w:type="default" r:id="rId13"/>
      <w:footerReference w:type="default" r:id="rId14"/>
      <w:pgSz w:w="11906" w:h="16838"/>
      <w:pgMar w:top="1417" w:right="1133" w:bottom="1135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609" w14:textId="77777777" w:rsidR="00074EDD" w:rsidRDefault="00074EDD" w:rsidP="00BA3860">
      <w:pPr>
        <w:spacing w:after="0" w:line="240" w:lineRule="auto"/>
      </w:pPr>
      <w:r>
        <w:separator/>
      </w:r>
    </w:p>
  </w:endnote>
  <w:endnote w:type="continuationSeparator" w:id="0">
    <w:p w14:paraId="70676D1C" w14:textId="77777777" w:rsidR="00074EDD" w:rsidRDefault="00074EDD" w:rsidP="00BA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1526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BACBC1" w14:textId="5508F9B6" w:rsidR="00F57684" w:rsidRDefault="00A36646">
            <w:pPr>
              <w:pStyle w:val="Stopka"/>
              <w:jc w:val="center"/>
            </w:pPr>
            <w:r w:rsidRPr="002D7222">
              <w:rPr>
                <w:noProof/>
                <w:lang w:eastAsia="pl-PL"/>
              </w:rPr>
              <w:drawing>
                <wp:inline distT="0" distB="0" distL="0" distR="0" wp14:anchorId="34DF6970" wp14:editId="22B8D29B">
                  <wp:extent cx="5753100" cy="304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684">
              <w:t xml:space="preserve">Strona </w:t>
            </w:r>
            <w:r w:rsidR="00F57684">
              <w:rPr>
                <w:b/>
                <w:bCs/>
                <w:sz w:val="24"/>
                <w:szCs w:val="24"/>
              </w:rPr>
              <w:fldChar w:fldCharType="begin"/>
            </w:r>
            <w:r w:rsidR="00F57684">
              <w:rPr>
                <w:b/>
                <w:bCs/>
              </w:rPr>
              <w:instrText>PAGE</w:instrText>
            </w:r>
            <w:r w:rsidR="00F576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F57684">
              <w:rPr>
                <w:b/>
                <w:bCs/>
                <w:sz w:val="24"/>
                <w:szCs w:val="24"/>
              </w:rPr>
              <w:fldChar w:fldCharType="end"/>
            </w:r>
            <w:r w:rsidR="00F57684">
              <w:t xml:space="preserve"> z </w:t>
            </w:r>
            <w:r w:rsidR="00F57684">
              <w:rPr>
                <w:b/>
                <w:bCs/>
                <w:sz w:val="24"/>
                <w:szCs w:val="24"/>
              </w:rPr>
              <w:fldChar w:fldCharType="begin"/>
            </w:r>
            <w:r w:rsidR="00F57684">
              <w:rPr>
                <w:b/>
                <w:bCs/>
              </w:rPr>
              <w:instrText>NUMPAGES</w:instrText>
            </w:r>
            <w:r w:rsidR="00F576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F576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174086" w14:textId="75BFA067" w:rsidR="003E4B31" w:rsidRDefault="003E4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612" w14:textId="77777777" w:rsidR="00074EDD" w:rsidRDefault="00074EDD" w:rsidP="00BA3860">
      <w:pPr>
        <w:spacing w:after="0" w:line="240" w:lineRule="auto"/>
      </w:pPr>
      <w:r>
        <w:separator/>
      </w:r>
    </w:p>
  </w:footnote>
  <w:footnote w:type="continuationSeparator" w:id="0">
    <w:p w14:paraId="33059240" w14:textId="77777777" w:rsidR="00074EDD" w:rsidRDefault="00074EDD" w:rsidP="00BA3860">
      <w:pPr>
        <w:spacing w:after="0" w:line="240" w:lineRule="auto"/>
      </w:pPr>
      <w:r>
        <w:continuationSeparator/>
      </w:r>
    </w:p>
  </w:footnote>
  <w:footnote w:id="1">
    <w:p w14:paraId="02786FC4" w14:textId="77777777" w:rsidR="00BB6F08" w:rsidRPr="005C2046" w:rsidRDefault="00BB6F08" w:rsidP="00BB6F08">
      <w:pPr>
        <w:pStyle w:val="Tekstprzypisudolnego"/>
        <w:jc w:val="both"/>
        <w:rPr>
          <w:sz w:val="16"/>
          <w:szCs w:val="16"/>
        </w:rPr>
      </w:pPr>
      <w:r w:rsidRPr="00B46813">
        <w:rPr>
          <w:rStyle w:val="Odwoanieprzypisudolnego"/>
        </w:rPr>
        <w:footnoteRef/>
      </w:r>
      <w:r w:rsidRPr="00B46813">
        <w:t xml:space="preserve"> </w:t>
      </w:r>
      <w:r w:rsidRPr="005C2046">
        <w:rPr>
          <w:sz w:val="16"/>
          <w:szCs w:val="16"/>
        </w:rPr>
        <w:t xml:space="preserve">Analizy SWOT dla poszczególnych specjalizacji ujęte są w raportach z Badania potencjału innowacyjnego i rozwojowego przedsiębiorstw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   </w:t>
      </w:r>
      <w:r w:rsidRPr="005C2046">
        <w:rPr>
          <w:sz w:val="16"/>
          <w:szCs w:val="16"/>
        </w:rPr>
        <w:t>funkcjonujących w ramach inteligentnych specjalizacji województwa</w:t>
      </w:r>
      <w:r>
        <w:rPr>
          <w:sz w:val="16"/>
          <w:szCs w:val="16"/>
        </w:rPr>
        <w:t xml:space="preserve"> </w:t>
      </w:r>
      <w:r w:rsidRPr="005C2046">
        <w:rPr>
          <w:sz w:val="16"/>
          <w:szCs w:val="16"/>
        </w:rPr>
        <w:t xml:space="preserve">warmińsko-mazurskiego dostępnych na stronie </w:t>
      </w:r>
      <w:r>
        <w:rPr>
          <w:sz w:val="16"/>
          <w:szCs w:val="16"/>
        </w:rPr>
        <w:br/>
        <w:t xml:space="preserve">   </w:t>
      </w:r>
      <w:hyperlink w:history="1">
        <w:r w:rsidRPr="00F6696E">
          <w:rPr>
            <w:rStyle w:val="Hipercze"/>
            <w:sz w:val="16"/>
            <w:szCs w:val="16"/>
          </w:rPr>
          <w:t>www.ris.warmia.mazury.pl a</w:t>
        </w:r>
      </w:hyperlink>
      <w:r>
        <w:rPr>
          <w:sz w:val="16"/>
          <w:szCs w:val="16"/>
        </w:rPr>
        <w:t xml:space="preserve"> także pod adresem </w:t>
      </w:r>
      <w:r w:rsidRPr="00696A9D">
        <w:rPr>
          <w:sz w:val="16"/>
          <w:szCs w:val="16"/>
        </w:rPr>
        <w:t>https://biznes.warmia.mazury.pl/kategoria/raporty-i-dokumenty/raporty-koncowe-dot-inteligentnych-specjalizacji-wojewodztwa-warminsko-mazurskiego/</w:t>
      </w:r>
    </w:p>
  </w:footnote>
  <w:footnote w:id="2">
    <w:p w14:paraId="61645BF0" w14:textId="58A93751" w:rsidR="00BB6F08" w:rsidRPr="005C2046" w:rsidRDefault="00BB6F08" w:rsidP="00BB6F08">
      <w:pPr>
        <w:pStyle w:val="Tekstprzypisudolnego"/>
        <w:jc w:val="both"/>
        <w:rPr>
          <w:sz w:val="16"/>
          <w:szCs w:val="16"/>
        </w:rPr>
      </w:pPr>
      <w:r w:rsidRPr="005C2046">
        <w:rPr>
          <w:rStyle w:val="Odwoanieprzypisudolnego"/>
          <w:sz w:val="16"/>
          <w:szCs w:val="16"/>
        </w:rPr>
        <w:footnoteRef/>
      </w:r>
      <w:r w:rsidRPr="005C2046">
        <w:rPr>
          <w:sz w:val="16"/>
          <w:szCs w:val="16"/>
        </w:rPr>
        <w:t xml:space="preserve"> Wymagane </w:t>
      </w:r>
      <w:proofErr w:type="gramStart"/>
      <w:r w:rsidRPr="005C2046">
        <w:rPr>
          <w:sz w:val="16"/>
          <w:szCs w:val="16"/>
        </w:rPr>
        <w:t>jest</w:t>
      </w:r>
      <w:proofErr w:type="gramEnd"/>
      <w:r w:rsidRPr="005C2046">
        <w:rPr>
          <w:sz w:val="16"/>
          <w:szCs w:val="16"/>
        </w:rPr>
        <w:t xml:space="preserve"> aby </w:t>
      </w:r>
      <w:r w:rsidR="003D2106">
        <w:rPr>
          <w:sz w:val="16"/>
          <w:szCs w:val="16"/>
        </w:rPr>
        <w:t>Pożyczkobiorca</w:t>
      </w:r>
      <w:r w:rsidRPr="005C2046">
        <w:rPr>
          <w:sz w:val="16"/>
          <w:szCs w:val="16"/>
        </w:rPr>
        <w:t xml:space="preserve"> posiadał co najmniej jeden z wymienionych PKD/EKD na dzień złożenia wniosku o udzielenie </w:t>
      </w:r>
      <w:r>
        <w:rPr>
          <w:sz w:val="16"/>
          <w:szCs w:val="16"/>
        </w:rPr>
        <w:br/>
        <w:t xml:space="preserve">    </w:t>
      </w:r>
      <w:r w:rsidRPr="005C2046">
        <w:rPr>
          <w:sz w:val="16"/>
          <w:szCs w:val="16"/>
        </w:rPr>
        <w:t>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461E" w14:textId="19C6BF0B" w:rsidR="00F57684" w:rsidRDefault="00A36646" w:rsidP="003D02B8">
    <w:pPr>
      <w:pStyle w:val="Nagwek"/>
      <w:tabs>
        <w:tab w:val="clear" w:pos="9072"/>
        <w:tab w:val="left" w:pos="3720"/>
        <w:tab w:val="right" w:pos="9639"/>
      </w:tabs>
      <w:rPr>
        <w:noProof/>
      </w:rPr>
    </w:pPr>
    <w:r>
      <w:rPr>
        <w:noProof/>
      </w:rPr>
      <w:tab/>
      <w:t xml:space="preserve">                                </w:t>
    </w:r>
    <w:r w:rsidR="00A31F45">
      <w:rPr>
        <w:noProof/>
      </w:rPr>
      <w:drawing>
        <wp:inline distT="0" distB="0" distL="0" distR="0" wp14:anchorId="789BC503" wp14:editId="16D96FEE">
          <wp:extent cx="6030595" cy="604520"/>
          <wp:effectExtent l="0" t="0" r="825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B378E" w14:textId="77777777" w:rsidR="003D02B8" w:rsidRDefault="003D02B8" w:rsidP="003D02B8">
    <w:pPr>
      <w:pStyle w:val="Nagwek"/>
      <w:tabs>
        <w:tab w:val="clear" w:pos="9072"/>
        <w:tab w:val="left" w:pos="37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66E"/>
    <w:multiLevelType w:val="hybridMultilevel"/>
    <w:tmpl w:val="B2528560"/>
    <w:lvl w:ilvl="0" w:tplc="9E16351A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Times New Roman" w:hAnsi="Times New Roman" w:hint="default"/>
        <w:b w:val="0"/>
        <w:i w:val="0"/>
        <w:sz w:val="22"/>
      </w:rPr>
    </w:lvl>
    <w:lvl w:ilvl="1" w:tplc="234C911A">
      <w:start w:val="6"/>
      <w:numFmt w:val="upperRoman"/>
      <w:lvlText w:val="%2."/>
      <w:lvlJc w:val="left"/>
      <w:pPr>
        <w:tabs>
          <w:tab w:val="num" w:pos="-363"/>
        </w:tabs>
        <w:ind w:left="-363" w:hanging="357"/>
      </w:pPr>
      <w:rPr>
        <w:rFonts w:ascii="Thorndale AMT" w:hAnsi="Thorndale AMT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0463065F"/>
    <w:multiLevelType w:val="hybridMultilevel"/>
    <w:tmpl w:val="9A0E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A50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30FC6"/>
    <w:multiLevelType w:val="hybridMultilevel"/>
    <w:tmpl w:val="E10AC86A"/>
    <w:lvl w:ilvl="0" w:tplc="260CE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D38D0"/>
    <w:multiLevelType w:val="hybridMultilevel"/>
    <w:tmpl w:val="7A2C4DD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9894BB0"/>
    <w:multiLevelType w:val="hybridMultilevel"/>
    <w:tmpl w:val="D9621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6FC1"/>
    <w:multiLevelType w:val="hybridMultilevel"/>
    <w:tmpl w:val="0F9AE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7D64"/>
    <w:multiLevelType w:val="hybridMultilevel"/>
    <w:tmpl w:val="B336D3A4"/>
    <w:lvl w:ilvl="0" w:tplc="477A6E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64D23"/>
    <w:multiLevelType w:val="hybridMultilevel"/>
    <w:tmpl w:val="E88CC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107038"/>
    <w:multiLevelType w:val="hybridMultilevel"/>
    <w:tmpl w:val="D9621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3F55"/>
    <w:multiLevelType w:val="hybridMultilevel"/>
    <w:tmpl w:val="D9621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7DB"/>
    <w:multiLevelType w:val="hybridMultilevel"/>
    <w:tmpl w:val="64B4C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2625"/>
    <w:multiLevelType w:val="hybridMultilevel"/>
    <w:tmpl w:val="C61CDD6C"/>
    <w:lvl w:ilvl="0" w:tplc="745A3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76A89"/>
    <w:multiLevelType w:val="hybridMultilevel"/>
    <w:tmpl w:val="472AA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522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AC7CFD"/>
    <w:multiLevelType w:val="hybridMultilevel"/>
    <w:tmpl w:val="95602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A55E6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02E4C"/>
    <w:multiLevelType w:val="hybridMultilevel"/>
    <w:tmpl w:val="64B4C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E468C"/>
    <w:multiLevelType w:val="hybridMultilevel"/>
    <w:tmpl w:val="4948BA9E"/>
    <w:lvl w:ilvl="0" w:tplc="204A29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910804"/>
    <w:multiLevelType w:val="hybridMultilevel"/>
    <w:tmpl w:val="5434B0A4"/>
    <w:lvl w:ilvl="0" w:tplc="260CE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A4639"/>
    <w:multiLevelType w:val="hybridMultilevel"/>
    <w:tmpl w:val="11EE3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A5240"/>
    <w:multiLevelType w:val="hybridMultilevel"/>
    <w:tmpl w:val="3518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24171"/>
    <w:multiLevelType w:val="hybridMultilevel"/>
    <w:tmpl w:val="A04AB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C7C42"/>
    <w:multiLevelType w:val="hybridMultilevel"/>
    <w:tmpl w:val="9E1C37C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281A06"/>
    <w:multiLevelType w:val="hybridMultilevel"/>
    <w:tmpl w:val="E84C6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56390"/>
    <w:multiLevelType w:val="hybridMultilevel"/>
    <w:tmpl w:val="2C7E380A"/>
    <w:lvl w:ilvl="0" w:tplc="4D6EF7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22175"/>
    <w:multiLevelType w:val="hybridMultilevel"/>
    <w:tmpl w:val="8D06A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5352"/>
    <w:multiLevelType w:val="hybridMultilevel"/>
    <w:tmpl w:val="683A19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375EC"/>
    <w:multiLevelType w:val="hybridMultilevel"/>
    <w:tmpl w:val="04B4DC36"/>
    <w:lvl w:ilvl="0" w:tplc="75D280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822EFB"/>
    <w:multiLevelType w:val="hybridMultilevel"/>
    <w:tmpl w:val="09FC4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745A0"/>
    <w:multiLevelType w:val="hybridMultilevel"/>
    <w:tmpl w:val="E1D8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3C6D"/>
    <w:multiLevelType w:val="hybridMultilevel"/>
    <w:tmpl w:val="CED07D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26771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AE334B"/>
    <w:multiLevelType w:val="hybridMultilevel"/>
    <w:tmpl w:val="E3D4C6AA"/>
    <w:lvl w:ilvl="0" w:tplc="260CE89C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9" w15:restartNumberingAfterBreak="0">
    <w:nsid w:val="71522241"/>
    <w:multiLevelType w:val="hybridMultilevel"/>
    <w:tmpl w:val="8EF4B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6D7556"/>
    <w:multiLevelType w:val="hybridMultilevel"/>
    <w:tmpl w:val="6C242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D52897"/>
    <w:multiLevelType w:val="hybridMultilevel"/>
    <w:tmpl w:val="59DE0194"/>
    <w:lvl w:ilvl="0" w:tplc="75D2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95B48"/>
    <w:multiLevelType w:val="hybridMultilevel"/>
    <w:tmpl w:val="32369870"/>
    <w:lvl w:ilvl="0" w:tplc="FED026E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horndale AMT" w:hAnsi="Thorndale AMT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489465">
    <w:abstractNumId w:val="1"/>
  </w:num>
  <w:num w:numId="2" w16cid:durableId="2121797015">
    <w:abstractNumId w:val="37"/>
  </w:num>
  <w:num w:numId="3" w16cid:durableId="25180486">
    <w:abstractNumId w:val="0"/>
  </w:num>
  <w:num w:numId="4" w16cid:durableId="529879301">
    <w:abstractNumId w:val="15"/>
  </w:num>
  <w:num w:numId="5" w16cid:durableId="1530946003">
    <w:abstractNumId w:val="27"/>
  </w:num>
  <w:num w:numId="6" w16cid:durableId="1129855094">
    <w:abstractNumId w:val="33"/>
  </w:num>
  <w:num w:numId="7" w16cid:durableId="1706052654">
    <w:abstractNumId w:val="26"/>
  </w:num>
  <w:num w:numId="8" w16cid:durableId="1815677116">
    <w:abstractNumId w:val="23"/>
  </w:num>
  <w:num w:numId="9" w16cid:durableId="1334064116">
    <w:abstractNumId w:val="34"/>
  </w:num>
  <w:num w:numId="10" w16cid:durableId="15426352">
    <w:abstractNumId w:val="43"/>
  </w:num>
  <w:num w:numId="11" w16cid:durableId="1290356985">
    <w:abstractNumId w:val="4"/>
  </w:num>
  <w:num w:numId="12" w16cid:durableId="1673952585">
    <w:abstractNumId w:val="42"/>
  </w:num>
  <w:num w:numId="13" w16cid:durableId="1842112685">
    <w:abstractNumId w:val="28"/>
  </w:num>
  <w:num w:numId="14" w16cid:durableId="1309703814">
    <w:abstractNumId w:val="13"/>
  </w:num>
  <w:num w:numId="15" w16cid:durableId="1694722776">
    <w:abstractNumId w:val="9"/>
  </w:num>
  <w:num w:numId="16" w16cid:durableId="867523592">
    <w:abstractNumId w:val="30"/>
  </w:num>
  <w:num w:numId="17" w16cid:durableId="1333218416">
    <w:abstractNumId w:val="40"/>
  </w:num>
  <w:num w:numId="18" w16cid:durableId="2115707373">
    <w:abstractNumId w:val="39"/>
  </w:num>
  <w:num w:numId="19" w16cid:durableId="1854489434">
    <w:abstractNumId w:val="18"/>
  </w:num>
  <w:num w:numId="20" w16cid:durableId="1088114608">
    <w:abstractNumId w:val="24"/>
  </w:num>
  <w:num w:numId="21" w16cid:durableId="946353287">
    <w:abstractNumId w:val="19"/>
  </w:num>
  <w:num w:numId="22" w16cid:durableId="1651405060">
    <w:abstractNumId w:val="14"/>
  </w:num>
  <w:num w:numId="23" w16cid:durableId="754791042">
    <w:abstractNumId w:val="3"/>
  </w:num>
  <w:num w:numId="24" w16cid:durableId="964434699">
    <w:abstractNumId w:val="20"/>
  </w:num>
  <w:num w:numId="25" w16cid:durableId="2142651627">
    <w:abstractNumId w:val="2"/>
  </w:num>
  <w:num w:numId="26" w16cid:durableId="816580219">
    <w:abstractNumId w:val="32"/>
  </w:num>
  <w:num w:numId="27" w16cid:durableId="663781043">
    <w:abstractNumId w:val="10"/>
  </w:num>
  <w:num w:numId="28" w16cid:durableId="305818916">
    <w:abstractNumId w:val="21"/>
  </w:num>
  <w:num w:numId="29" w16cid:durableId="1586454">
    <w:abstractNumId w:val="35"/>
  </w:num>
  <w:num w:numId="30" w16cid:durableId="530649912">
    <w:abstractNumId w:val="31"/>
  </w:num>
  <w:num w:numId="31" w16cid:durableId="1179195894">
    <w:abstractNumId w:val="16"/>
  </w:num>
  <w:num w:numId="32" w16cid:durableId="1655640693">
    <w:abstractNumId w:val="41"/>
  </w:num>
  <w:num w:numId="33" w16cid:durableId="1381317759">
    <w:abstractNumId w:val="8"/>
  </w:num>
  <w:num w:numId="34" w16cid:durableId="1705010973">
    <w:abstractNumId w:val="25"/>
  </w:num>
  <w:num w:numId="35" w16cid:durableId="1668740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95503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8213677">
    <w:abstractNumId w:val="12"/>
  </w:num>
  <w:num w:numId="38" w16cid:durableId="308824088">
    <w:abstractNumId w:val="6"/>
  </w:num>
  <w:num w:numId="39" w16cid:durableId="619145711">
    <w:abstractNumId w:val="38"/>
  </w:num>
  <w:num w:numId="40" w16cid:durableId="1935433408">
    <w:abstractNumId w:val="5"/>
  </w:num>
  <w:num w:numId="41" w16cid:durableId="239142201">
    <w:abstractNumId w:val="29"/>
  </w:num>
  <w:num w:numId="42" w16cid:durableId="1087264196">
    <w:abstractNumId w:val="7"/>
  </w:num>
  <w:num w:numId="43" w16cid:durableId="527182726">
    <w:abstractNumId w:val="22"/>
  </w:num>
  <w:num w:numId="44" w16cid:durableId="471943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476"/>
    <w:rsid w:val="00004BAA"/>
    <w:rsid w:val="00013256"/>
    <w:rsid w:val="00023B04"/>
    <w:rsid w:val="00024080"/>
    <w:rsid w:val="000348CD"/>
    <w:rsid w:val="00055219"/>
    <w:rsid w:val="00057A08"/>
    <w:rsid w:val="000710BD"/>
    <w:rsid w:val="00074EDD"/>
    <w:rsid w:val="00097D21"/>
    <w:rsid w:val="000B2707"/>
    <w:rsid w:val="000B60CD"/>
    <w:rsid w:val="000C1D62"/>
    <w:rsid w:val="000C3F38"/>
    <w:rsid w:val="000D755C"/>
    <w:rsid w:val="000E11F1"/>
    <w:rsid w:val="000F0392"/>
    <w:rsid w:val="00112915"/>
    <w:rsid w:val="0012340D"/>
    <w:rsid w:val="00130E21"/>
    <w:rsid w:val="00143B24"/>
    <w:rsid w:val="001458FD"/>
    <w:rsid w:val="001465A3"/>
    <w:rsid w:val="00177BFD"/>
    <w:rsid w:val="00192DD1"/>
    <w:rsid w:val="00195DA4"/>
    <w:rsid w:val="001B152A"/>
    <w:rsid w:val="001B440A"/>
    <w:rsid w:val="001D353E"/>
    <w:rsid w:val="001E0E56"/>
    <w:rsid w:val="001F0850"/>
    <w:rsid w:val="001F499D"/>
    <w:rsid w:val="00216CDB"/>
    <w:rsid w:val="00220E6E"/>
    <w:rsid w:val="002341C7"/>
    <w:rsid w:val="00242BE0"/>
    <w:rsid w:val="00243BEF"/>
    <w:rsid w:val="0025429A"/>
    <w:rsid w:val="00257186"/>
    <w:rsid w:val="002612FF"/>
    <w:rsid w:val="002737AE"/>
    <w:rsid w:val="00281BE7"/>
    <w:rsid w:val="00286687"/>
    <w:rsid w:val="00286819"/>
    <w:rsid w:val="002B6A7C"/>
    <w:rsid w:val="002C097C"/>
    <w:rsid w:val="002C1D6A"/>
    <w:rsid w:val="002D1C48"/>
    <w:rsid w:val="002E0530"/>
    <w:rsid w:val="00303756"/>
    <w:rsid w:val="003077F0"/>
    <w:rsid w:val="0031356C"/>
    <w:rsid w:val="003408A3"/>
    <w:rsid w:val="00346CB0"/>
    <w:rsid w:val="003562D8"/>
    <w:rsid w:val="00357EB2"/>
    <w:rsid w:val="00375439"/>
    <w:rsid w:val="0038795D"/>
    <w:rsid w:val="003C1B34"/>
    <w:rsid w:val="003C5575"/>
    <w:rsid w:val="003D02B8"/>
    <w:rsid w:val="003D2106"/>
    <w:rsid w:val="003E4B31"/>
    <w:rsid w:val="003E578E"/>
    <w:rsid w:val="00417A9B"/>
    <w:rsid w:val="00432444"/>
    <w:rsid w:val="00486BD1"/>
    <w:rsid w:val="00487DB3"/>
    <w:rsid w:val="00487E6B"/>
    <w:rsid w:val="004C6971"/>
    <w:rsid w:val="004D669A"/>
    <w:rsid w:val="004D6CDD"/>
    <w:rsid w:val="004E6364"/>
    <w:rsid w:val="004F4478"/>
    <w:rsid w:val="0050030A"/>
    <w:rsid w:val="00511011"/>
    <w:rsid w:val="00532FE4"/>
    <w:rsid w:val="0055197A"/>
    <w:rsid w:val="00551C05"/>
    <w:rsid w:val="00560B36"/>
    <w:rsid w:val="005719A4"/>
    <w:rsid w:val="005762B7"/>
    <w:rsid w:val="00594AE4"/>
    <w:rsid w:val="005A41DA"/>
    <w:rsid w:val="005B5A6E"/>
    <w:rsid w:val="005C057F"/>
    <w:rsid w:val="005C3022"/>
    <w:rsid w:val="005D1585"/>
    <w:rsid w:val="005E7890"/>
    <w:rsid w:val="005E79B9"/>
    <w:rsid w:val="005F3EAE"/>
    <w:rsid w:val="005F4AA7"/>
    <w:rsid w:val="005F7B39"/>
    <w:rsid w:val="005F7DC2"/>
    <w:rsid w:val="00614CDD"/>
    <w:rsid w:val="00623E3E"/>
    <w:rsid w:val="006265B3"/>
    <w:rsid w:val="00634424"/>
    <w:rsid w:val="006344E6"/>
    <w:rsid w:val="00634BB7"/>
    <w:rsid w:val="00636B37"/>
    <w:rsid w:val="00643AB7"/>
    <w:rsid w:val="00644CFD"/>
    <w:rsid w:val="00671C14"/>
    <w:rsid w:val="00672E84"/>
    <w:rsid w:val="00674F4F"/>
    <w:rsid w:val="00675EC4"/>
    <w:rsid w:val="006839E1"/>
    <w:rsid w:val="006856FE"/>
    <w:rsid w:val="00685F1A"/>
    <w:rsid w:val="0069098E"/>
    <w:rsid w:val="00693CC4"/>
    <w:rsid w:val="006B26B1"/>
    <w:rsid w:val="006C69EF"/>
    <w:rsid w:val="006D1BB3"/>
    <w:rsid w:val="006E0A14"/>
    <w:rsid w:val="006E3D31"/>
    <w:rsid w:val="006E6C0F"/>
    <w:rsid w:val="006F5AB8"/>
    <w:rsid w:val="007133F1"/>
    <w:rsid w:val="007153D4"/>
    <w:rsid w:val="00722AEC"/>
    <w:rsid w:val="00730601"/>
    <w:rsid w:val="007418CD"/>
    <w:rsid w:val="00744A05"/>
    <w:rsid w:val="0075044C"/>
    <w:rsid w:val="007678C3"/>
    <w:rsid w:val="00793B17"/>
    <w:rsid w:val="007A3B55"/>
    <w:rsid w:val="007F3476"/>
    <w:rsid w:val="007F762C"/>
    <w:rsid w:val="00817FA8"/>
    <w:rsid w:val="00835117"/>
    <w:rsid w:val="00851171"/>
    <w:rsid w:val="00854DE4"/>
    <w:rsid w:val="00874836"/>
    <w:rsid w:val="0087543C"/>
    <w:rsid w:val="00875729"/>
    <w:rsid w:val="00887B91"/>
    <w:rsid w:val="00890ECA"/>
    <w:rsid w:val="00894447"/>
    <w:rsid w:val="00895AA8"/>
    <w:rsid w:val="00897B41"/>
    <w:rsid w:val="008C3E59"/>
    <w:rsid w:val="008D40C3"/>
    <w:rsid w:val="008D6546"/>
    <w:rsid w:val="008D7DD7"/>
    <w:rsid w:val="008F1716"/>
    <w:rsid w:val="008F6C50"/>
    <w:rsid w:val="00905033"/>
    <w:rsid w:val="00920443"/>
    <w:rsid w:val="009321EF"/>
    <w:rsid w:val="009443B8"/>
    <w:rsid w:val="00951184"/>
    <w:rsid w:val="0096179F"/>
    <w:rsid w:val="009674CB"/>
    <w:rsid w:val="00972035"/>
    <w:rsid w:val="0098172F"/>
    <w:rsid w:val="0098437E"/>
    <w:rsid w:val="0098739F"/>
    <w:rsid w:val="00987B33"/>
    <w:rsid w:val="009A1193"/>
    <w:rsid w:val="009B2B9B"/>
    <w:rsid w:val="009B44EA"/>
    <w:rsid w:val="009D5EA3"/>
    <w:rsid w:val="009F1B63"/>
    <w:rsid w:val="00A1317B"/>
    <w:rsid w:val="00A17609"/>
    <w:rsid w:val="00A21B2D"/>
    <w:rsid w:val="00A238D1"/>
    <w:rsid w:val="00A24218"/>
    <w:rsid w:val="00A31F45"/>
    <w:rsid w:val="00A34E7D"/>
    <w:rsid w:val="00A35358"/>
    <w:rsid w:val="00A36646"/>
    <w:rsid w:val="00A36964"/>
    <w:rsid w:val="00A40AF0"/>
    <w:rsid w:val="00A51C14"/>
    <w:rsid w:val="00A52321"/>
    <w:rsid w:val="00A542FC"/>
    <w:rsid w:val="00A543DB"/>
    <w:rsid w:val="00A75226"/>
    <w:rsid w:val="00A85423"/>
    <w:rsid w:val="00AA1717"/>
    <w:rsid w:val="00AB34F1"/>
    <w:rsid w:val="00AB48B4"/>
    <w:rsid w:val="00AC0B58"/>
    <w:rsid w:val="00AC3B7C"/>
    <w:rsid w:val="00AD2E51"/>
    <w:rsid w:val="00AD742B"/>
    <w:rsid w:val="00AE1252"/>
    <w:rsid w:val="00AE2F50"/>
    <w:rsid w:val="00AE7DAF"/>
    <w:rsid w:val="00AF39A9"/>
    <w:rsid w:val="00B036B0"/>
    <w:rsid w:val="00B24BA7"/>
    <w:rsid w:val="00B31963"/>
    <w:rsid w:val="00B45306"/>
    <w:rsid w:val="00B77E7B"/>
    <w:rsid w:val="00B904C3"/>
    <w:rsid w:val="00B90701"/>
    <w:rsid w:val="00B966A6"/>
    <w:rsid w:val="00BA3860"/>
    <w:rsid w:val="00BB28F7"/>
    <w:rsid w:val="00BB66EA"/>
    <w:rsid w:val="00BB6F08"/>
    <w:rsid w:val="00BD677F"/>
    <w:rsid w:val="00BF22E7"/>
    <w:rsid w:val="00C02D1A"/>
    <w:rsid w:val="00C0316A"/>
    <w:rsid w:val="00C040E3"/>
    <w:rsid w:val="00C10DBC"/>
    <w:rsid w:val="00C36827"/>
    <w:rsid w:val="00C47D98"/>
    <w:rsid w:val="00C55797"/>
    <w:rsid w:val="00C94198"/>
    <w:rsid w:val="00C94EEB"/>
    <w:rsid w:val="00CB0854"/>
    <w:rsid w:val="00CC1E53"/>
    <w:rsid w:val="00CD524D"/>
    <w:rsid w:val="00CE36D6"/>
    <w:rsid w:val="00D00D62"/>
    <w:rsid w:val="00D06864"/>
    <w:rsid w:val="00D30604"/>
    <w:rsid w:val="00D40518"/>
    <w:rsid w:val="00D40685"/>
    <w:rsid w:val="00D41189"/>
    <w:rsid w:val="00D54BF0"/>
    <w:rsid w:val="00D55B08"/>
    <w:rsid w:val="00D60295"/>
    <w:rsid w:val="00D6349E"/>
    <w:rsid w:val="00D74946"/>
    <w:rsid w:val="00D82267"/>
    <w:rsid w:val="00D904DE"/>
    <w:rsid w:val="00D94AF1"/>
    <w:rsid w:val="00D95379"/>
    <w:rsid w:val="00D954C3"/>
    <w:rsid w:val="00D97F00"/>
    <w:rsid w:val="00DB1308"/>
    <w:rsid w:val="00DC3B99"/>
    <w:rsid w:val="00DE57E0"/>
    <w:rsid w:val="00DF4B46"/>
    <w:rsid w:val="00E132AD"/>
    <w:rsid w:val="00E20A87"/>
    <w:rsid w:val="00E572A7"/>
    <w:rsid w:val="00E70C0A"/>
    <w:rsid w:val="00E9225B"/>
    <w:rsid w:val="00EB2075"/>
    <w:rsid w:val="00EB696A"/>
    <w:rsid w:val="00EC07BB"/>
    <w:rsid w:val="00EC3622"/>
    <w:rsid w:val="00ED33BE"/>
    <w:rsid w:val="00EE07F6"/>
    <w:rsid w:val="00EE2193"/>
    <w:rsid w:val="00EE7D30"/>
    <w:rsid w:val="00EF5F4D"/>
    <w:rsid w:val="00F17A5A"/>
    <w:rsid w:val="00F17E4D"/>
    <w:rsid w:val="00F25628"/>
    <w:rsid w:val="00F348B2"/>
    <w:rsid w:val="00F501FA"/>
    <w:rsid w:val="00F57684"/>
    <w:rsid w:val="00F60DBF"/>
    <w:rsid w:val="00F67D54"/>
    <w:rsid w:val="00F83828"/>
    <w:rsid w:val="00F84B8F"/>
    <w:rsid w:val="00F854F4"/>
    <w:rsid w:val="00F92B94"/>
    <w:rsid w:val="00FB10B5"/>
    <w:rsid w:val="00FB1546"/>
    <w:rsid w:val="00FB1880"/>
    <w:rsid w:val="00FB2DCE"/>
    <w:rsid w:val="00FC01ED"/>
    <w:rsid w:val="00FD1A3D"/>
    <w:rsid w:val="00FD2C5B"/>
    <w:rsid w:val="00FF1CAB"/>
    <w:rsid w:val="00FF2173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BD137"/>
  <w15:docId w15:val="{55F17CCA-4586-4854-B88D-D48EF1B0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7F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34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D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A3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A3860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BA3860"/>
    <w:rPr>
      <w:vertAlign w:val="superscript"/>
    </w:rPr>
  </w:style>
  <w:style w:type="paragraph" w:styleId="Poprawka">
    <w:name w:val="Revision"/>
    <w:hidden/>
    <w:uiPriority w:val="99"/>
    <w:semiHidden/>
    <w:rsid w:val="006D1B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D7DD7"/>
    <w:rPr>
      <w:color w:val="0000FF" w:themeColor="hyperlink"/>
      <w:u w:val="single"/>
    </w:rPr>
  </w:style>
  <w:style w:type="paragraph" w:customStyle="1" w:styleId="Default">
    <w:name w:val="Default"/>
    <w:rsid w:val="008D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572A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B31"/>
  </w:style>
  <w:style w:type="paragraph" w:styleId="Stopka">
    <w:name w:val="footer"/>
    <w:basedOn w:val="Normalny"/>
    <w:link w:val="Stopka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31"/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11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kik.gov.pl/stopa_referencyjna_i_archiwum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competition/state_aid/legislation/reference_rate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FC19C-6F95-4FD5-A4C1-A946AD75963D}"/>
</file>

<file path=customXml/itemProps2.xml><?xml version="1.0" encoding="utf-8"?>
<ds:datastoreItem xmlns:ds="http://schemas.openxmlformats.org/officeDocument/2006/customXml" ds:itemID="{DDE1CCBD-EB0B-4AC7-9C22-377F632D3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26CD5-4D4A-4F14-BBEC-726C05795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1422A-EA6D-4891-935F-2B8A8A7E86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Baczewski, Jacek</dc:creator>
  <cp:keywords/>
  <dc:description/>
  <cp:lastModifiedBy>Łukasz Sadowski</cp:lastModifiedBy>
  <cp:revision>23</cp:revision>
  <cp:lastPrinted>2022-04-14T07:06:00Z</cp:lastPrinted>
  <dcterms:created xsi:type="dcterms:W3CDTF">2017-03-16T10:33:00Z</dcterms:created>
  <dcterms:modified xsi:type="dcterms:W3CDTF">2022-04-14T07:06:00Z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Krzysztof.Lesniak@bgk.pl</vt:lpwstr>
  </property>
  <property fmtid="{D5CDD505-2E9C-101B-9397-08002B2CF9AE}" pid="5" name="MSIP_Label_ffd642cb-f5ac-4f9c-8f91-3377ed972e0d_SetDate">
    <vt:lpwstr>2019-04-29T14:16:59.9516635Z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2021-12-02T07:01:30Z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0x010100E99BE352E1B4E341BF299F4A9E2A4891</vt:lpwstr>
  </property>
</Properties>
</file>