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9F74B" w14:textId="77777777" w:rsidR="00247B20" w:rsidRPr="009750EF" w:rsidRDefault="00247B20" w:rsidP="00247B20">
      <w:pPr>
        <w:tabs>
          <w:tab w:val="left" w:pos="2700"/>
          <w:tab w:val="left" w:pos="3240"/>
          <w:tab w:val="left" w:pos="5580"/>
          <w:tab w:val="left" w:pos="6120"/>
          <w:tab w:val="left" w:pos="7380"/>
        </w:tabs>
        <w:spacing w:after="0"/>
        <w:ind w:right="23"/>
        <w:jc w:val="center"/>
      </w:pPr>
    </w:p>
    <w:p w14:paraId="2050EBDD" w14:textId="4D2AEB40" w:rsidR="00247B20" w:rsidRPr="00247B20" w:rsidRDefault="00247B20" w:rsidP="00247B20">
      <w:pPr>
        <w:tabs>
          <w:tab w:val="left" w:pos="2700"/>
          <w:tab w:val="left" w:pos="3240"/>
          <w:tab w:val="left" w:pos="5580"/>
          <w:tab w:val="left" w:pos="6120"/>
          <w:tab w:val="left" w:pos="7380"/>
        </w:tabs>
        <w:spacing w:after="0"/>
        <w:ind w:right="23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47B20">
        <w:rPr>
          <w:rFonts w:asciiTheme="minorHAnsi" w:hAnsiTheme="minorHAnsi" w:cstheme="minorHAnsi"/>
          <w:b/>
          <w:sz w:val="22"/>
          <w:szCs w:val="22"/>
        </w:rPr>
        <w:t xml:space="preserve">   Załącznik nr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4CD48330" w14:textId="72C0341B" w:rsidR="00247B20" w:rsidRPr="005A40F0" w:rsidRDefault="00247B20" w:rsidP="00247B20">
      <w:pPr>
        <w:spacing w:after="0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47B20">
        <w:rPr>
          <w:rFonts w:asciiTheme="minorHAnsi" w:hAnsiTheme="minorHAnsi" w:cstheme="minorHAnsi"/>
          <w:sz w:val="22"/>
          <w:szCs w:val="22"/>
        </w:rPr>
        <w:tab/>
        <w:t xml:space="preserve">                                  </w:t>
      </w:r>
      <w:proofErr w:type="gramStart"/>
      <w:r w:rsidRPr="00247B20">
        <w:rPr>
          <w:rFonts w:asciiTheme="minorHAnsi" w:hAnsiTheme="minorHAnsi" w:cstheme="minorHAnsi"/>
          <w:b/>
          <w:sz w:val="22"/>
          <w:szCs w:val="22"/>
        </w:rPr>
        <w:t>do</w:t>
      </w:r>
      <w:proofErr w:type="gramEnd"/>
      <w:r w:rsidRPr="00247B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Umowy Inwestycyjnej nr </w:t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instrText xml:space="preserve"> FORMTEXT </w:instrText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separate"/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 </w:t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 </w:t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 </w:t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 </w:t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 </w:t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end"/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instrText xml:space="preserve"> FORMTEXT </w:instrText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separate"/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 </w:t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 </w:t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 </w:t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 </w:t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 </w:t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end"/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/UI/RPO </w:t>
      </w:r>
      <w:proofErr w:type="spellStart"/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WiM</w:t>
      </w:r>
      <w:proofErr w:type="spellEnd"/>
      <w:r w:rsidR="005A40F0"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/PR</w:t>
      </w: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232A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NIDA</w:t>
      </w:r>
    </w:p>
    <w:p w14:paraId="5F7690C2" w14:textId="77777777" w:rsidR="00247B20" w:rsidRDefault="00247B20" w:rsidP="00247B20">
      <w:pPr>
        <w:spacing w:after="0"/>
        <w:jc w:val="center"/>
        <w:rPr>
          <w:b/>
          <w:sz w:val="18"/>
          <w:szCs w:val="18"/>
        </w:rPr>
      </w:pPr>
    </w:p>
    <w:p w14:paraId="53E1C11C" w14:textId="0FB9A188" w:rsidR="007B6949" w:rsidRPr="0068560E" w:rsidRDefault="007B6949" w:rsidP="00247B20">
      <w:pP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560E">
        <w:rPr>
          <w:rFonts w:asciiTheme="minorHAnsi" w:hAnsiTheme="minorHAnsi" w:cstheme="minorHAnsi"/>
          <w:b/>
          <w:sz w:val="22"/>
          <w:szCs w:val="22"/>
        </w:rPr>
        <w:t>Karta Produktu</w:t>
      </w:r>
    </w:p>
    <w:p w14:paraId="16BA4317" w14:textId="6CC768B3" w:rsidR="007B6949" w:rsidRPr="0068560E" w:rsidRDefault="007B6949" w:rsidP="00E83E55">
      <w:pP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560E">
        <w:rPr>
          <w:rFonts w:asciiTheme="minorHAnsi" w:hAnsiTheme="minorHAnsi" w:cstheme="minorHAnsi"/>
          <w:b/>
          <w:sz w:val="22"/>
          <w:szCs w:val="22"/>
        </w:rPr>
        <w:t xml:space="preserve">Pożyczka </w:t>
      </w:r>
      <w:r w:rsidR="005C1E17" w:rsidRPr="0068560E">
        <w:rPr>
          <w:rFonts w:asciiTheme="minorHAnsi" w:hAnsiTheme="minorHAnsi" w:cstheme="minorHAnsi"/>
          <w:b/>
          <w:sz w:val="22"/>
          <w:szCs w:val="22"/>
        </w:rPr>
        <w:t>Rozwojowa</w:t>
      </w:r>
      <w:r w:rsidR="005607CA" w:rsidRPr="006856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8560E">
        <w:rPr>
          <w:rFonts w:asciiTheme="minorHAnsi" w:hAnsiTheme="minorHAnsi" w:cstheme="minorHAnsi"/>
          <w:b/>
          <w:sz w:val="22"/>
          <w:szCs w:val="22"/>
        </w:rPr>
        <w:t>(P</w:t>
      </w:r>
      <w:r w:rsidR="005C1E17" w:rsidRPr="0068560E">
        <w:rPr>
          <w:rFonts w:asciiTheme="minorHAnsi" w:hAnsiTheme="minorHAnsi" w:cstheme="minorHAnsi"/>
          <w:b/>
          <w:sz w:val="22"/>
          <w:szCs w:val="22"/>
        </w:rPr>
        <w:t>R</w:t>
      </w:r>
      <w:r w:rsidRPr="0068560E">
        <w:rPr>
          <w:rFonts w:asciiTheme="minorHAnsi" w:hAnsiTheme="minorHAnsi" w:cstheme="minorHAnsi"/>
          <w:b/>
          <w:sz w:val="22"/>
          <w:szCs w:val="22"/>
        </w:rPr>
        <w:t>)</w:t>
      </w:r>
    </w:p>
    <w:p w14:paraId="02AC7CC3" w14:textId="17DF334A" w:rsidR="00086645" w:rsidRPr="0068560E" w:rsidRDefault="007B6949" w:rsidP="00E83E5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560E">
        <w:rPr>
          <w:rFonts w:asciiTheme="minorHAnsi" w:hAnsiTheme="minorHAnsi" w:cstheme="minorHAnsi"/>
          <w:b/>
          <w:sz w:val="22"/>
          <w:szCs w:val="22"/>
        </w:rPr>
        <w:t>(Poddziałanie 1.</w:t>
      </w:r>
      <w:r w:rsidR="005C1E17" w:rsidRPr="0068560E">
        <w:rPr>
          <w:rFonts w:asciiTheme="minorHAnsi" w:hAnsiTheme="minorHAnsi" w:cstheme="minorHAnsi"/>
          <w:b/>
          <w:sz w:val="22"/>
          <w:szCs w:val="22"/>
        </w:rPr>
        <w:t>3</w:t>
      </w:r>
      <w:r w:rsidRPr="0068560E">
        <w:rPr>
          <w:rFonts w:asciiTheme="minorHAnsi" w:hAnsiTheme="minorHAnsi" w:cstheme="minorHAnsi"/>
          <w:b/>
          <w:sz w:val="22"/>
          <w:szCs w:val="22"/>
        </w:rPr>
        <w:t>.3)</w:t>
      </w:r>
    </w:p>
    <w:p w14:paraId="2E3AE92E" w14:textId="77777777" w:rsidR="00717378" w:rsidRPr="0068560E" w:rsidRDefault="00717378" w:rsidP="00E83E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10673A" w14:textId="37AFC64A" w:rsidR="007B6949" w:rsidRPr="005A40F0" w:rsidRDefault="007B6949" w:rsidP="00E83E55">
      <w:pPr>
        <w:pStyle w:val="Akapitzlist"/>
        <w:numPr>
          <w:ilvl w:val="0"/>
          <w:numId w:val="9"/>
        </w:numPr>
        <w:spacing w:after="0"/>
        <w:ind w:left="714" w:hanging="357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Podstawowe parametry P</w:t>
      </w:r>
      <w:r w:rsidR="005C1E17" w:rsidRPr="005A40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</w:t>
      </w:r>
    </w:p>
    <w:p w14:paraId="0154DA91" w14:textId="77777777" w:rsidR="007B6949" w:rsidRPr="005A40F0" w:rsidRDefault="007B6949" w:rsidP="00E83E55">
      <w:pPr>
        <w:pStyle w:val="Akapitzlist"/>
        <w:ind w:left="108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F518C86" w14:textId="0039CFE0" w:rsidR="007B6949" w:rsidRPr="005A40F0" w:rsidRDefault="005C1E17" w:rsidP="00E83E55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>Wartość Pożyczki wynosi od 5 000,00 zł do 1 000 000,00 zł</w:t>
      </w:r>
      <w:r w:rsidR="007B6949" w:rsidRPr="005A40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6688ABB9" w14:textId="79E9242D" w:rsidR="0028624F" w:rsidRPr="005A40F0" w:rsidRDefault="005C1E17" w:rsidP="00E83E55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>Wkład własny Pożyczkobiorcy nie jest wymagany</w:t>
      </w:r>
      <w:r w:rsidR="0028624F" w:rsidRPr="005A40F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430C2A5" w14:textId="5E4E7C3D" w:rsidR="007B6949" w:rsidRPr="005A40F0" w:rsidRDefault="005C1E17" w:rsidP="00E83E55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 xml:space="preserve">Maksymalny termin na wypłatę całkowitej kwoty Pożyczki przez </w:t>
      </w:r>
      <w:r w:rsidR="00DE7EC4" w:rsidRPr="005A40F0">
        <w:rPr>
          <w:rFonts w:asciiTheme="minorHAnsi" w:hAnsiTheme="minorHAnsi" w:cstheme="minorHAnsi"/>
          <w:color w:val="000000" w:themeColor="text1"/>
          <w:sz w:val="22"/>
          <w:szCs w:val="22"/>
        </w:rPr>
        <w:t>Pośrednika Finansowego</w:t>
      </w:r>
      <w:r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 xml:space="preserve"> wynosi 180 dni kalendarzowych od dnia zawarcia umowy Pożyczki</w:t>
      </w:r>
      <w:r w:rsidR="007B6949" w:rsidRPr="005A40F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DA7FB6B" w14:textId="5A09F022" w:rsidR="007B6949" w:rsidRPr="005A40F0" w:rsidRDefault="005C1E17" w:rsidP="00E83E55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>Maksymalny okres spłaty Pożyczki nie może być dłuższy niż 96 miesięcy, od momentu jej uruchomienia, tj. wypłaty jakiejkolwiek kwoty Pożyczki</w:t>
      </w:r>
      <w:r w:rsidR="007B6949" w:rsidRPr="005A40F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A4E4029" w14:textId="760A7FA9" w:rsidR="005C1E17" w:rsidRPr="005A40F0" w:rsidRDefault="005C1E17" w:rsidP="00E83E55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>Maksymalna karencja w spłacie kapitału Pożyczki wynosi 12 miesięcy od dnia jej uruchomienia, przy czym karencja nie wydłuża okresu spłaty Pożyczki</w:t>
      </w:r>
    </w:p>
    <w:p w14:paraId="30654304" w14:textId="77777777" w:rsidR="007B6949" w:rsidRPr="0068560E" w:rsidRDefault="007B6949" w:rsidP="00E83E55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C8AFC5" w14:textId="08890672" w:rsidR="007B6949" w:rsidRPr="00CB5E44" w:rsidRDefault="007B6949" w:rsidP="00E83E55">
      <w:pPr>
        <w:pStyle w:val="Akapitzlis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5E44">
        <w:rPr>
          <w:rFonts w:asciiTheme="minorHAnsi" w:hAnsiTheme="minorHAnsi" w:cstheme="minorHAnsi"/>
          <w:b/>
          <w:sz w:val="22"/>
          <w:szCs w:val="22"/>
        </w:rPr>
        <w:t>Zasady dotyczące udzielania</w:t>
      </w:r>
      <w:r w:rsidR="00CE2A5B" w:rsidRPr="00CB5E44">
        <w:rPr>
          <w:rFonts w:asciiTheme="minorHAnsi" w:hAnsiTheme="minorHAnsi" w:cstheme="minorHAnsi"/>
          <w:b/>
          <w:sz w:val="22"/>
          <w:szCs w:val="22"/>
        </w:rPr>
        <w:t xml:space="preserve"> i udokumentowania </w:t>
      </w:r>
      <w:r w:rsidR="005C1E17" w:rsidRPr="00CB5E44">
        <w:rPr>
          <w:rFonts w:asciiTheme="minorHAnsi" w:hAnsiTheme="minorHAnsi" w:cstheme="minorHAnsi"/>
          <w:b/>
          <w:sz w:val="22"/>
          <w:szCs w:val="22"/>
        </w:rPr>
        <w:t>PR</w:t>
      </w:r>
    </w:p>
    <w:p w14:paraId="290BDEB3" w14:textId="77777777" w:rsidR="007B6949" w:rsidRPr="005A40F0" w:rsidRDefault="007B6949" w:rsidP="00E83E55">
      <w:pPr>
        <w:pStyle w:val="Akapitzlist"/>
        <w:ind w:left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76B5377" w14:textId="0832C2DD" w:rsidR="007B6949" w:rsidRPr="005A40F0" w:rsidRDefault="005C1E17" w:rsidP="00E83E55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 xml:space="preserve">Udzielenie Pożyczki nie może być uzależnione od zawarcia przez Pożyczkobiorcę dodatkowych umów (w szczególności dotyczących zakupu dodatkowych usług, produktów finansowych lub ubezpieczeniowych) z </w:t>
      </w:r>
      <w:r w:rsidR="0079501E"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>Pośrednikiem Finansowym</w:t>
      </w:r>
      <w:r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 xml:space="preserve"> lub podmiotem partnerskim lub powiązanym w stosunku do</w:t>
      </w:r>
      <w:r w:rsidR="0079501E"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 xml:space="preserve"> Pośrednika Finansowego</w:t>
      </w:r>
      <w:r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 xml:space="preserve">; powyższe nie dotyczy powszechnie występujących na rynku oraz standardowo stosowanych przez </w:t>
      </w:r>
      <w:r w:rsidR="0079501E"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>Pośrednika Finansowego</w:t>
      </w:r>
      <w:r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 xml:space="preserve"> zabezpieczeń ustanawianych przez Pożyczkobiorcę na rzecz </w:t>
      </w:r>
      <w:r w:rsidR="0079501E"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>Pośrednika Finansowego</w:t>
      </w:r>
      <w:r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 xml:space="preserve"> w związku z zawieraną umową Pożyczki, z zastrzeżeniem, iż w przypadku zabezpieczenia takiego jak „cesja </w:t>
      </w:r>
      <w:proofErr w:type="gramStart"/>
      <w:r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>praw</w:t>
      </w:r>
      <w:proofErr w:type="gramEnd"/>
      <w:r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 xml:space="preserve"> z polisy ubezpieczeniowej” Pożyczkobiorca </w:t>
      </w:r>
      <w:r w:rsidR="001601D5"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br/>
      </w:r>
      <w:r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>ma możliwość wyboru oferty spośród ubezpieczycieli dostępnych na rynku</w:t>
      </w:r>
      <w:r w:rsidR="007B6949" w:rsidRPr="005A40F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B6DDF48" w14:textId="6A8926DE" w:rsidR="007B6949" w:rsidRPr="005A40F0" w:rsidRDefault="005C1E17" w:rsidP="00E83E55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 xml:space="preserve">Wydatkowanie środków Pożyczki musi zostać należycie udokumentowane w terminie do 180 dni od dnia wypłaty całkowitej kwoty Pożyczki, przy czym termin ten dotyczy daty wystawienia dokumentów potwierdzających wydatkowanie środków. W uzasadnionych przypadkach, na wniosek Pożyczkobiorcy </w:t>
      </w:r>
      <w:r w:rsidR="0059267F"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>Pośrednik Finansowy</w:t>
      </w:r>
      <w:r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 xml:space="preserve"> może zaakceptować wydłużenie tego terminu maksymalnie o kolejne 90 dni ze względu na charakter inwestycji</w:t>
      </w:r>
      <w:r w:rsidR="007B6949" w:rsidRPr="005A40F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11BD24E" w14:textId="02A36937" w:rsidR="00B51F75" w:rsidRPr="005C2D49" w:rsidRDefault="005C1E17" w:rsidP="00E83E55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2D49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 xml:space="preserve">Dokumentem potwierdzającym wydatkowanie środków zgodnie z celem, na jaki zostały przyznane jest faktura lub dokument równoważny w rozumieniu przepisów prawa krajowego, wystawiony nie wcześniej niż w dniu złożenia wniosku o udzielenie Pożyczki. Pożyczkodawca może przyjąć do rozliczenia dokument potwierdzający wydatkowanie Pożyczki wystawiony z datą wcześniejszą, pod warunkiem, że pozyska on wiarygodne </w:t>
      </w:r>
      <w:r w:rsidRPr="005C2D49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lastRenderedPageBreak/>
        <w:t>dowody, że przedstawiony dokument nie został opłacony przed dniem złożenia wniosku o</w:t>
      </w:r>
      <w:r w:rsidR="00757BA4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> </w:t>
      </w:r>
      <w:bookmarkStart w:id="0" w:name="_GoBack"/>
      <w:bookmarkEnd w:id="0"/>
      <w:r w:rsidRPr="005C2D49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>udzielenie Pożyczki</w:t>
      </w:r>
      <w:r w:rsidR="00B51F75" w:rsidRPr="005C2D4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D13E2C3" w14:textId="01D7BEFD" w:rsidR="007B6949" w:rsidRPr="005C2D49" w:rsidRDefault="005C1E17" w:rsidP="00E83E55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2D49">
        <w:rPr>
          <w:rFonts w:asciiTheme="minorHAnsi" w:hAnsiTheme="minorHAnsi" w:cstheme="minorHAnsi"/>
          <w:color w:val="000000"/>
          <w:sz w:val="22"/>
          <w:szCs w:val="22"/>
          <w:lang w:bidi="pl-PL"/>
        </w:rPr>
        <w:t>Wszelka dokumentacja potwierdzająca wydatkowanie środków przez Pożyczkobiorcę powinna być, co do zasady, sporządzona w języku polskim, a w przypadku dokumentów wystawianych w języku innym niż język polski, powinna zostać przetłumaczona na język polski przez Pożyczkobiorcę lub na jego zlecenie</w:t>
      </w:r>
      <w:r w:rsidR="007B6949" w:rsidRPr="005C2D49">
        <w:rPr>
          <w:rFonts w:asciiTheme="minorHAnsi" w:hAnsiTheme="minorHAnsi" w:cstheme="minorHAnsi"/>
          <w:sz w:val="22"/>
          <w:szCs w:val="22"/>
        </w:rPr>
        <w:t>.</w:t>
      </w:r>
    </w:p>
    <w:p w14:paraId="2EEF35AC" w14:textId="77777777" w:rsidR="00006100" w:rsidRPr="0068560E" w:rsidRDefault="00006100" w:rsidP="00E83E55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EAD171" w14:textId="77777777" w:rsidR="007B6949" w:rsidRPr="00CB5E44" w:rsidRDefault="007B6949" w:rsidP="00E83E55">
      <w:pPr>
        <w:pStyle w:val="Akapitzlis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5E44">
        <w:rPr>
          <w:rFonts w:asciiTheme="minorHAnsi" w:hAnsiTheme="minorHAnsi" w:cstheme="minorHAnsi"/>
          <w:b/>
          <w:sz w:val="22"/>
          <w:szCs w:val="22"/>
        </w:rPr>
        <w:t>Przeznaczenie finansowania (Cele Inwestycji)</w:t>
      </w:r>
    </w:p>
    <w:p w14:paraId="30719A3E" w14:textId="77777777" w:rsidR="00006100" w:rsidRPr="0068560E" w:rsidRDefault="00006100" w:rsidP="00E83E55">
      <w:pPr>
        <w:pStyle w:val="Akapitzlist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D11CBC" w14:textId="74421901" w:rsidR="005C1E17" w:rsidRPr="00F31D5B" w:rsidRDefault="005C1E17" w:rsidP="00E83E55">
      <w:pPr>
        <w:pStyle w:val="Akapitzlist"/>
        <w:numPr>
          <w:ilvl w:val="0"/>
          <w:numId w:val="12"/>
        </w:numPr>
        <w:spacing w:afterLines="120" w:after="288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31D5B">
        <w:rPr>
          <w:rFonts w:asciiTheme="minorHAnsi" w:hAnsiTheme="minorHAnsi" w:cstheme="minorHAnsi"/>
          <w:color w:val="000000"/>
          <w:sz w:val="22"/>
          <w:szCs w:val="22"/>
          <w:lang w:bidi="pl-PL"/>
        </w:rPr>
        <w:t>Z Pożyczek finansowane są inwestycje na terenie województwa warmińsko-mazurskiego, związane z:</w:t>
      </w:r>
    </w:p>
    <w:p w14:paraId="50D32C3E" w14:textId="70AF7513" w:rsidR="005C1E17" w:rsidRPr="00F31D5B" w:rsidRDefault="005C1E17" w:rsidP="00E83E55">
      <w:pPr>
        <w:pStyle w:val="Akapitzlist"/>
        <w:numPr>
          <w:ilvl w:val="0"/>
          <w:numId w:val="13"/>
        </w:numPr>
        <w:spacing w:after="120"/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31D5B">
        <w:rPr>
          <w:rFonts w:asciiTheme="minorHAnsi" w:hAnsiTheme="minorHAnsi" w:cstheme="minorHAnsi"/>
          <w:color w:val="000000"/>
          <w:sz w:val="22"/>
          <w:szCs w:val="22"/>
          <w:lang w:bidi="pl-PL"/>
        </w:rPr>
        <w:t>wzrostem</w:t>
      </w:r>
      <w:proofErr w:type="gramEnd"/>
      <w:r w:rsidRPr="00F31D5B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pozycji konkurencyjnej firmy na rynku, jej produktywności, potencjału rozwojowego</w:t>
      </w:r>
      <w:r w:rsidR="001601D5">
        <w:rPr>
          <w:rFonts w:asciiTheme="minorHAnsi" w:hAnsiTheme="minorHAnsi" w:cstheme="minorHAnsi"/>
          <w:color w:val="000000"/>
          <w:sz w:val="22"/>
          <w:szCs w:val="22"/>
          <w:lang w:bidi="pl-PL"/>
        </w:rPr>
        <w:t>,</w:t>
      </w:r>
      <w:r w:rsidRPr="00F31D5B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lub</w:t>
      </w:r>
    </w:p>
    <w:p w14:paraId="16698BE9" w14:textId="24ED9C70" w:rsidR="005C1E17" w:rsidRPr="00F31D5B" w:rsidRDefault="005C1E17" w:rsidP="00E83E55">
      <w:pPr>
        <w:pStyle w:val="Teksttreci0"/>
        <w:numPr>
          <w:ilvl w:val="0"/>
          <w:numId w:val="13"/>
        </w:numPr>
        <w:shd w:val="clear" w:color="auto" w:fill="auto"/>
        <w:tabs>
          <w:tab w:val="left" w:pos="1000"/>
        </w:tabs>
        <w:spacing w:line="276" w:lineRule="auto"/>
        <w:ind w:left="1037" w:hanging="357"/>
        <w:contextualSpacing/>
        <w:jc w:val="both"/>
        <w:rPr>
          <w:rFonts w:asciiTheme="minorHAnsi" w:hAnsiTheme="minorHAnsi" w:cstheme="minorHAnsi"/>
        </w:rPr>
      </w:pPr>
      <w:proofErr w:type="gramStart"/>
      <w:r w:rsidRPr="00F31D5B">
        <w:rPr>
          <w:rFonts w:asciiTheme="minorHAnsi" w:hAnsiTheme="minorHAnsi" w:cstheme="minorHAnsi"/>
          <w:color w:val="000000"/>
          <w:lang w:eastAsia="pl-PL" w:bidi="pl-PL"/>
        </w:rPr>
        <w:t>na</w:t>
      </w:r>
      <w:proofErr w:type="gramEnd"/>
      <w:r w:rsidRPr="00F31D5B">
        <w:rPr>
          <w:rFonts w:asciiTheme="minorHAnsi" w:hAnsiTheme="minorHAnsi" w:cstheme="minorHAnsi"/>
          <w:color w:val="000000"/>
          <w:lang w:eastAsia="pl-PL" w:bidi="pl-PL"/>
        </w:rPr>
        <w:t xml:space="preserve"> przedsięwzięcie łączące koszty o charakterze inwestycyjnym i obrotowym mające na celu wzmocnienie podstawowej działalności przedsiębiorstwa bądź realizację nowych projektów (np. aktywność mająca na celu ustabilizowanie obecnej pozycji firmy na rynku, wzmocnienie wykorzystania mocy produkcyjnej).</w:t>
      </w:r>
    </w:p>
    <w:p w14:paraId="08030F3D" w14:textId="1A763095" w:rsidR="007B6949" w:rsidRPr="00F31D5B" w:rsidRDefault="005C1E17" w:rsidP="00E83E55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1D5B">
        <w:rPr>
          <w:rFonts w:asciiTheme="minorHAnsi" w:hAnsiTheme="minorHAnsi" w:cstheme="minorHAnsi"/>
          <w:color w:val="000000"/>
          <w:sz w:val="22"/>
          <w:szCs w:val="22"/>
          <w:lang w:bidi="pl-PL"/>
        </w:rPr>
        <w:t>Środki z Pożyczki mogą zostać przeznaczone w szczególności na</w:t>
      </w:r>
      <w:r w:rsidR="007B6949" w:rsidRPr="00F31D5B">
        <w:rPr>
          <w:rFonts w:asciiTheme="minorHAnsi" w:hAnsiTheme="minorHAnsi" w:cstheme="minorHAnsi"/>
          <w:sz w:val="22"/>
          <w:szCs w:val="22"/>
        </w:rPr>
        <w:t>:</w:t>
      </w:r>
    </w:p>
    <w:p w14:paraId="43328731" w14:textId="18438E86" w:rsidR="005C1E17" w:rsidRPr="00F31D5B" w:rsidRDefault="005C1E17" w:rsidP="00E83E55">
      <w:pPr>
        <w:pStyle w:val="Akapitzlist"/>
        <w:numPr>
          <w:ilvl w:val="0"/>
          <w:numId w:val="14"/>
        </w:numPr>
        <w:spacing w:after="120"/>
        <w:ind w:left="103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31D5B">
        <w:rPr>
          <w:rFonts w:asciiTheme="minorHAnsi" w:hAnsiTheme="minorHAnsi" w:cstheme="minorHAnsi"/>
          <w:color w:val="000000"/>
          <w:sz w:val="22"/>
          <w:szCs w:val="22"/>
          <w:lang w:bidi="pl-PL"/>
        </w:rPr>
        <w:t>przedsięwzięcie</w:t>
      </w:r>
      <w:proofErr w:type="gramEnd"/>
      <w:r w:rsidRPr="00F31D5B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o charakterze inwestycyjnym umożliwiające wzrost pozycji</w:t>
      </w:r>
      <w:r w:rsidR="001601D5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</w:t>
      </w:r>
      <w:r w:rsidRPr="00F31D5B">
        <w:rPr>
          <w:rFonts w:asciiTheme="minorHAnsi" w:hAnsiTheme="minorHAnsi" w:cstheme="minorHAnsi"/>
          <w:color w:val="000000"/>
          <w:sz w:val="22"/>
          <w:szCs w:val="22"/>
          <w:lang w:bidi="pl-PL"/>
        </w:rPr>
        <w:t>konkurencyjnej firmy na rynku, jej produktywności, potencjału rozwojowego lub</w:t>
      </w:r>
    </w:p>
    <w:p w14:paraId="61C658C1" w14:textId="7EF12A12" w:rsidR="006861FA" w:rsidRPr="00F31D5B" w:rsidRDefault="005C1E17" w:rsidP="00E83E55">
      <w:pPr>
        <w:pStyle w:val="Akapitzlist"/>
        <w:numPr>
          <w:ilvl w:val="0"/>
          <w:numId w:val="14"/>
        </w:numPr>
        <w:spacing w:after="120"/>
        <w:ind w:left="103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31D5B">
        <w:rPr>
          <w:rFonts w:asciiTheme="minorHAnsi" w:hAnsiTheme="minorHAnsi" w:cstheme="minorHAnsi"/>
          <w:color w:val="000000"/>
          <w:sz w:val="22"/>
          <w:szCs w:val="22"/>
          <w:lang w:bidi="pl-PL"/>
        </w:rPr>
        <w:t>przedsięwzięcie</w:t>
      </w:r>
      <w:proofErr w:type="gramEnd"/>
      <w:r w:rsidRPr="00F31D5B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łączące koszty o charakterze inwestycyjnym i obrotowym (maksymalnie </w:t>
      </w:r>
      <w:r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>do 50% udziału w jednostkowej pożycz</w:t>
      </w:r>
      <w:r w:rsidR="00794C4D"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>ce</w:t>
      </w:r>
      <w:r w:rsidRPr="005A40F0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 xml:space="preserve"> ogółem) mające na celu wzmocnienie</w:t>
      </w:r>
      <w:r w:rsidRPr="00F31D5B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podstawowej działalności przedsiębiorstwa bądź realizację nowych projektów</w:t>
      </w:r>
      <w:r w:rsidR="00757BA4">
        <w:rPr>
          <w:rFonts w:asciiTheme="minorHAnsi" w:hAnsiTheme="minorHAnsi" w:cstheme="minorHAnsi"/>
          <w:color w:val="000000"/>
          <w:sz w:val="22"/>
          <w:szCs w:val="22"/>
          <w:lang w:bidi="pl-PL"/>
        </w:rPr>
        <w:br/>
      </w:r>
      <w:r w:rsidRPr="00F31D5B">
        <w:rPr>
          <w:rFonts w:asciiTheme="minorHAnsi" w:hAnsiTheme="minorHAnsi" w:cstheme="minorHAnsi"/>
          <w:color w:val="000000"/>
          <w:sz w:val="22"/>
          <w:szCs w:val="22"/>
          <w:lang w:bidi="pl-PL"/>
        </w:rPr>
        <w:t>(np. aktywność mającą na celu ustabilizowanie obecnej pozycji firmy na rynku, wzmocnienie wykorzystania mocy produkcyjnej).</w:t>
      </w:r>
    </w:p>
    <w:p w14:paraId="1147D256" w14:textId="5835325C" w:rsidR="007B6949" w:rsidRPr="00F31D5B" w:rsidRDefault="005C1E17" w:rsidP="00E83E55">
      <w:pPr>
        <w:pStyle w:val="Akapitzlist"/>
        <w:numPr>
          <w:ilvl w:val="0"/>
          <w:numId w:val="12"/>
        </w:numPr>
        <w:spacing w:afterLines="120" w:after="288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31D5B">
        <w:rPr>
          <w:rFonts w:asciiTheme="minorHAnsi" w:hAnsiTheme="minorHAnsi" w:cstheme="minorHAnsi"/>
          <w:color w:val="000000"/>
          <w:sz w:val="22"/>
          <w:szCs w:val="22"/>
          <w:lang w:bidi="pl-PL"/>
        </w:rPr>
        <w:t>Z Pożyczki finansowane są wydatki w kwotach brutto tj. z podatkiem VAT, bez względu na to czy Pożyczkobiorca ma prawną możliwość odzyskania naliczonego podatku VAT</w:t>
      </w:r>
      <w:r w:rsidR="007B6949" w:rsidRPr="00F31D5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5CE824" w14:textId="77777777" w:rsidR="00D3224B" w:rsidRPr="0068560E" w:rsidRDefault="00D3224B" w:rsidP="00E83E55">
      <w:pPr>
        <w:pStyle w:val="Akapitzlist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4257B7" w14:textId="6CB5B58E" w:rsidR="00D3224B" w:rsidRPr="00E22B32" w:rsidRDefault="007B6949" w:rsidP="00E83E55">
      <w:pPr>
        <w:pStyle w:val="Akapitzlis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B32">
        <w:rPr>
          <w:rFonts w:asciiTheme="minorHAnsi" w:hAnsiTheme="minorHAnsi" w:cstheme="minorHAnsi"/>
          <w:b/>
          <w:sz w:val="22"/>
          <w:szCs w:val="22"/>
        </w:rPr>
        <w:t xml:space="preserve">Wykluczenia </w:t>
      </w:r>
      <w:r w:rsidR="005C1E17" w:rsidRPr="00E22B32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Pr="00E22B32">
        <w:rPr>
          <w:rFonts w:asciiTheme="minorHAnsi" w:hAnsiTheme="minorHAnsi" w:cstheme="minorHAnsi"/>
          <w:b/>
          <w:sz w:val="22"/>
          <w:szCs w:val="22"/>
        </w:rPr>
        <w:t>finansowani</w:t>
      </w:r>
      <w:r w:rsidR="005C1E17" w:rsidRPr="00E22B32">
        <w:rPr>
          <w:rFonts w:asciiTheme="minorHAnsi" w:hAnsiTheme="minorHAnsi" w:cstheme="minorHAnsi"/>
          <w:b/>
          <w:sz w:val="22"/>
          <w:szCs w:val="22"/>
        </w:rPr>
        <w:t>a</w:t>
      </w:r>
    </w:p>
    <w:p w14:paraId="3A2BC885" w14:textId="77777777" w:rsidR="00D3224B" w:rsidRPr="0068560E" w:rsidRDefault="00D3224B" w:rsidP="00E83E55">
      <w:pPr>
        <w:pStyle w:val="Akapitzlist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B86345" w14:textId="60BFA664" w:rsidR="007B6949" w:rsidRPr="0068560E" w:rsidRDefault="005C1E17" w:rsidP="00E83E55">
      <w:pPr>
        <w:pStyle w:val="Akapitzlist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60E">
        <w:rPr>
          <w:rFonts w:asciiTheme="minorHAnsi" w:hAnsiTheme="minorHAnsi" w:cstheme="minorHAnsi"/>
          <w:color w:val="000000"/>
          <w:sz w:val="22"/>
          <w:szCs w:val="22"/>
          <w:lang w:bidi="pl-PL"/>
        </w:rPr>
        <w:t>Środki z Pożyczki nie mogą być przeznaczone na</w:t>
      </w:r>
      <w:r w:rsidR="00D3224B" w:rsidRPr="0068560E">
        <w:rPr>
          <w:rFonts w:asciiTheme="minorHAnsi" w:hAnsiTheme="minorHAnsi" w:cstheme="minorHAnsi"/>
          <w:sz w:val="22"/>
          <w:szCs w:val="22"/>
        </w:rPr>
        <w:t>:</w:t>
      </w:r>
    </w:p>
    <w:p w14:paraId="6C703AE9" w14:textId="77777777" w:rsidR="005C1E17" w:rsidRPr="0068560E" w:rsidRDefault="005C1E17" w:rsidP="00E83E55">
      <w:pPr>
        <w:pStyle w:val="Teksttreci0"/>
        <w:shd w:val="clear" w:color="auto" w:fill="auto"/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68560E">
        <w:rPr>
          <w:rFonts w:asciiTheme="minorHAnsi" w:hAnsiTheme="minorHAnsi" w:cstheme="minorHAnsi"/>
          <w:color w:val="000000"/>
          <w:lang w:eastAsia="pl-PL" w:bidi="pl-PL"/>
        </w:rPr>
        <w:t>1) finansowanie wydatków pokrytych uprzednio ze środków EFSI, z innych funduszy, programów, środków i instrumentów Unii Europejskiej lub innych źródeł pomocy krajowej lub zagranicznej;</w:t>
      </w:r>
    </w:p>
    <w:p w14:paraId="2890FD13" w14:textId="77777777" w:rsidR="005C1E17" w:rsidRPr="0068560E" w:rsidRDefault="005C1E17" w:rsidP="00E83E55">
      <w:pPr>
        <w:pStyle w:val="Teksttreci0"/>
        <w:shd w:val="clear" w:color="auto" w:fill="auto"/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68560E">
        <w:rPr>
          <w:rFonts w:asciiTheme="minorHAnsi" w:hAnsiTheme="minorHAnsi" w:cstheme="minorHAnsi"/>
          <w:color w:val="000000"/>
          <w:lang w:eastAsia="pl-PL" w:bidi="pl-PL"/>
        </w:rPr>
        <w:t>2) prefinansowanie wydatków, na które otrzymano dofinansowanie w formie dotacji lub pomocy zwrotnej;</w:t>
      </w:r>
    </w:p>
    <w:p w14:paraId="5D498244" w14:textId="77777777" w:rsidR="005C1E17" w:rsidRPr="0068560E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refinansowanie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inwestycji, które w dniu podjęcia decyzji inwestycyjnej zostały fizycznie ukończone lub w pełni wdrożone;</w:t>
      </w:r>
    </w:p>
    <w:p w14:paraId="681745AA" w14:textId="77777777" w:rsidR="005C1E17" w:rsidRPr="0068560E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refinansowanie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jakichkolwiek pożyczek, kredytów lub rat leasingowych;</w:t>
      </w:r>
    </w:p>
    <w:p w14:paraId="5FD8783A" w14:textId="77777777" w:rsidR="005C1E17" w:rsidRPr="0068560E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lastRenderedPageBreak/>
        <w:t>dokonanie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spłaty zobowiązań publiczno-prawnych Ostatecznego Odbiorcy;</w:t>
      </w:r>
    </w:p>
    <w:p w14:paraId="0E893160" w14:textId="4C6827D4" w:rsidR="005C1E17" w:rsidRPr="005A40F0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1037" w:hanging="357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finansowanie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wydatków niezwiązanych bezpośrednio z Celem Inwestycji określonym </w:t>
      </w:r>
      <w:r w:rsidR="001601D5">
        <w:rPr>
          <w:rFonts w:asciiTheme="minorHAnsi" w:hAnsiTheme="minorHAnsi" w:cstheme="minorHAnsi"/>
          <w:color w:val="000000"/>
          <w:lang w:eastAsia="pl-PL" w:bidi="pl-PL"/>
        </w:rPr>
        <w:br/>
      </w:r>
      <w:r w:rsidRPr="005A40F0">
        <w:rPr>
          <w:rFonts w:asciiTheme="minorHAnsi" w:hAnsiTheme="minorHAnsi" w:cstheme="minorHAnsi"/>
          <w:color w:val="000000" w:themeColor="text1"/>
          <w:lang w:eastAsia="pl-PL" w:bidi="pl-PL"/>
        </w:rPr>
        <w:t>w pkt. I</w:t>
      </w:r>
      <w:r w:rsidR="005A40F0" w:rsidRPr="005A40F0">
        <w:rPr>
          <w:rFonts w:asciiTheme="minorHAnsi" w:hAnsiTheme="minorHAnsi" w:cstheme="minorHAnsi"/>
          <w:color w:val="000000" w:themeColor="text1"/>
          <w:lang w:eastAsia="pl-PL" w:bidi="pl-PL"/>
        </w:rPr>
        <w:t>II</w:t>
      </w:r>
      <w:r w:rsidRPr="005A40F0">
        <w:rPr>
          <w:rFonts w:asciiTheme="minorHAnsi" w:hAnsiTheme="minorHAnsi" w:cstheme="minorHAnsi"/>
          <w:color w:val="000000" w:themeColor="text1"/>
          <w:lang w:eastAsia="pl-PL" w:bidi="pl-PL"/>
        </w:rPr>
        <w:t xml:space="preserve"> powyżej;</w:t>
      </w:r>
    </w:p>
    <w:p w14:paraId="4037DD5B" w14:textId="77777777" w:rsidR="005C1E17" w:rsidRPr="0068560E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finansowanie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zakupu aktywów finansowych przeznaczonych do obrotu;</w:t>
      </w:r>
    </w:p>
    <w:p w14:paraId="3A33CFB7" w14:textId="77777777" w:rsidR="005C1E17" w:rsidRPr="0068560E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finansowanie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zakupu nieruchomości przeznaczonych do obrotu;</w:t>
      </w:r>
    </w:p>
    <w:p w14:paraId="70B46948" w14:textId="26C63B58" w:rsidR="005C1E17" w:rsidRPr="0068560E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finansowanie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działalności w zakresie wytwarzania, przetwórstwa lub wprowadzania do obrotu przez producenta lub importera tytoniu i wyrobów tytoniowych;</w:t>
      </w:r>
    </w:p>
    <w:p w14:paraId="19F4BF38" w14:textId="77777777" w:rsidR="005C1E17" w:rsidRPr="0068560E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831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finansowanie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działalności w zakresie produkcji lub wprowadzania do obrotu przez producenta lub importera napojów alkoholowych;</w:t>
      </w:r>
    </w:p>
    <w:p w14:paraId="5D5891D3" w14:textId="77777777" w:rsidR="005C1E17" w:rsidRPr="0068560E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831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finansowanie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działalności w zakresie produkcji lub wprowadzania do obrotu przez producenta lub importera treści pornograficznych;</w:t>
      </w:r>
    </w:p>
    <w:p w14:paraId="29DF2B43" w14:textId="5133BCD3" w:rsidR="005C1E17" w:rsidRPr="0068560E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831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finansowanie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działalności w zakresie obrotu materiałami wybuchowymi, bronią i</w:t>
      </w:r>
      <w:r w:rsidR="00757BA4">
        <w:rPr>
          <w:rFonts w:asciiTheme="minorHAnsi" w:hAnsiTheme="minorHAnsi" w:cstheme="minorHAnsi"/>
          <w:color w:val="000000"/>
          <w:lang w:eastAsia="pl-PL" w:bidi="pl-PL"/>
        </w:rPr>
        <w:t> </w:t>
      </w:r>
      <w:r w:rsidRPr="0068560E">
        <w:rPr>
          <w:rFonts w:asciiTheme="minorHAnsi" w:hAnsiTheme="minorHAnsi" w:cstheme="minorHAnsi"/>
          <w:color w:val="000000"/>
          <w:lang w:eastAsia="pl-PL" w:bidi="pl-PL"/>
        </w:rPr>
        <w:t>amunicją;</w:t>
      </w:r>
    </w:p>
    <w:p w14:paraId="718B7A7C" w14:textId="77777777" w:rsidR="005C1E17" w:rsidRPr="0068560E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831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finansowanie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działalności w zakresie gier losowych, zakładów wzajemnych, gier na automatach i gier na automatach o niskich wygranych;</w:t>
      </w:r>
    </w:p>
    <w:p w14:paraId="0EE6DC63" w14:textId="48DFC0F8" w:rsidR="005C1E17" w:rsidRPr="0068560E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831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finansowanie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działalności w zakresie produkcji lub wprowadzania do obrotu przez producenta lub importera środków odurzających, substancji psychotropowych lub prekursorów;</w:t>
      </w:r>
    </w:p>
    <w:p w14:paraId="49A186D3" w14:textId="77777777" w:rsidR="005C1E17" w:rsidRPr="0068560E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831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finansowanie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likwidacji lub budowy elektrowni jądrowych;</w:t>
      </w:r>
    </w:p>
    <w:p w14:paraId="54BE23B8" w14:textId="54E5C888" w:rsidR="005C1E17" w:rsidRPr="0068560E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831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finansowanie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inwestycji na rzecz redukcji emisji gazów cieplarnianych pochodzących z</w:t>
      </w:r>
      <w:r w:rsidR="00757BA4">
        <w:rPr>
          <w:rFonts w:asciiTheme="minorHAnsi" w:hAnsiTheme="minorHAnsi" w:cstheme="minorHAnsi"/>
          <w:color w:val="000000"/>
          <w:lang w:eastAsia="pl-PL" w:bidi="pl-PL"/>
        </w:rPr>
        <w:t> </w:t>
      </w:r>
      <w:r w:rsidRPr="0068560E">
        <w:rPr>
          <w:rFonts w:asciiTheme="minorHAnsi" w:hAnsiTheme="minorHAnsi" w:cstheme="minorHAnsi"/>
          <w:color w:val="000000"/>
          <w:lang w:eastAsia="pl-PL" w:bidi="pl-PL"/>
        </w:rPr>
        <w:t>listy działań wymienionych w załączniku I do dyrektywy 2003/87/WE;</w:t>
      </w:r>
    </w:p>
    <w:p w14:paraId="72D8A502" w14:textId="7DFA514A" w:rsidR="00D73D35" w:rsidRPr="001601D5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831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finansowanie inwestycji w infrastrukturę portów lotniczych, </w:t>
      </w: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chyba że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są one związane z</w:t>
      </w:r>
      <w:r w:rsidR="00757BA4">
        <w:rPr>
          <w:rFonts w:asciiTheme="minorHAnsi" w:hAnsiTheme="minorHAnsi" w:cstheme="minorHAnsi"/>
          <w:color w:val="000000"/>
          <w:lang w:eastAsia="pl-PL" w:bidi="pl-PL"/>
        </w:rPr>
        <w:t> </w:t>
      </w:r>
      <w:r w:rsidRPr="0068560E">
        <w:rPr>
          <w:rFonts w:asciiTheme="minorHAnsi" w:hAnsiTheme="minorHAnsi" w:cstheme="minorHAnsi"/>
          <w:color w:val="000000"/>
          <w:lang w:eastAsia="pl-PL" w:bidi="pl-PL"/>
        </w:rPr>
        <w:t>ochroną środowiska lub towarzyszą im inwestycje niezbędne do łagodzenia lub ograniczenia ich negatywnego oddziaływania na środowisko.</w:t>
      </w:r>
    </w:p>
    <w:p w14:paraId="26A0439F" w14:textId="77777777" w:rsidR="001601D5" w:rsidRPr="0068560E" w:rsidRDefault="001601D5" w:rsidP="001601D5">
      <w:pPr>
        <w:pStyle w:val="Teksttreci0"/>
        <w:shd w:val="clear" w:color="auto" w:fill="auto"/>
        <w:tabs>
          <w:tab w:val="left" w:pos="831"/>
        </w:tabs>
        <w:spacing w:line="276" w:lineRule="auto"/>
        <w:ind w:left="1037"/>
        <w:jc w:val="both"/>
        <w:rPr>
          <w:rFonts w:asciiTheme="minorHAnsi" w:hAnsiTheme="minorHAnsi" w:cstheme="minorHAnsi"/>
        </w:rPr>
      </w:pPr>
    </w:p>
    <w:p w14:paraId="7C3F432C" w14:textId="3691D95D" w:rsidR="007B6949" w:rsidRPr="00E22B32" w:rsidRDefault="005C1E17" w:rsidP="00E83E55">
      <w:pPr>
        <w:pStyle w:val="Akapitzlis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B32">
        <w:rPr>
          <w:rFonts w:asciiTheme="minorHAnsi" w:hAnsiTheme="minorHAnsi" w:cstheme="minorHAnsi"/>
          <w:b/>
          <w:sz w:val="22"/>
          <w:szCs w:val="22"/>
        </w:rPr>
        <w:t>Ograniczenia w finansowaniu</w:t>
      </w:r>
    </w:p>
    <w:p w14:paraId="2200DC28" w14:textId="77777777" w:rsidR="00D73D35" w:rsidRPr="0068560E" w:rsidRDefault="00D73D35" w:rsidP="00E83E55">
      <w:pPr>
        <w:pStyle w:val="Akapitzlist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E06260" w14:textId="049A643B" w:rsidR="005C1E17" w:rsidRPr="0068560E" w:rsidRDefault="005C1E17" w:rsidP="00E83E55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60E">
        <w:rPr>
          <w:rFonts w:asciiTheme="minorHAnsi" w:hAnsiTheme="minorHAnsi" w:cstheme="minorHAnsi"/>
          <w:color w:val="000000"/>
          <w:sz w:val="22"/>
          <w:szCs w:val="22"/>
          <w:lang w:bidi="pl-PL"/>
        </w:rPr>
        <w:t>Finansowanie zakupu gruntów niezabudowanych i zabudowanych w ramach finansowanej inwestycji możliwe jest do wysokości 10% środków wypłaconych na rzecz Ostatecznego Odbiorcy.</w:t>
      </w:r>
    </w:p>
    <w:p w14:paraId="3203CBBB" w14:textId="689E6BB9" w:rsidR="005C1E17" w:rsidRPr="0068560E" w:rsidRDefault="005C1E17" w:rsidP="00E83E55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60E">
        <w:rPr>
          <w:rFonts w:asciiTheme="minorHAnsi" w:hAnsiTheme="minorHAnsi" w:cstheme="minorHAnsi"/>
          <w:color w:val="000000"/>
          <w:sz w:val="22"/>
          <w:szCs w:val="22"/>
          <w:lang w:bidi="pl-PL"/>
        </w:rPr>
        <w:t>Finansowanie kapitału obrotowego jest możliwe wyłącznie do wysokości 50% Jednostkowej Pożyczki, przy czym przeznaczenie kapitału obrotowego jest bezpośrednio związane z</w:t>
      </w:r>
      <w:r w:rsidR="00757BA4">
        <w:rPr>
          <w:rFonts w:asciiTheme="minorHAnsi" w:hAnsiTheme="minorHAnsi" w:cstheme="minorHAnsi"/>
          <w:color w:val="000000"/>
          <w:sz w:val="22"/>
          <w:szCs w:val="22"/>
          <w:lang w:bidi="pl-PL"/>
        </w:rPr>
        <w:t> </w:t>
      </w:r>
      <w:r w:rsidRPr="0068560E">
        <w:rPr>
          <w:rFonts w:asciiTheme="minorHAnsi" w:hAnsiTheme="minorHAnsi" w:cstheme="minorHAnsi"/>
          <w:color w:val="000000"/>
          <w:sz w:val="22"/>
          <w:szCs w:val="22"/>
          <w:lang w:bidi="pl-PL"/>
        </w:rPr>
        <w:t>realizacją przedsięwzięcia rozwojowego, na które zostało przyznane finansowanie.</w:t>
      </w:r>
    </w:p>
    <w:p w14:paraId="53795AE7" w14:textId="77777777" w:rsidR="005C1E17" w:rsidRPr="0068560E" w:rsidRDefault="005C1E17" w:rsidP="00E83E55">
      <w:pPr>
        <w:pStyle w:val="Teksttreci0"/>
        <w:numPr>
          <w:ilvl w:val="0"/>
          <w:numId w:val="3"/>
        </w:numPr>
        <w:shd w:val="clear" w:color="auto" w:fill="auto"/>
        <w:tabs>
          <w:tab w:val="left" w:pos="709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Liczba </w:t>
      </w: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wsparć które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otrzymać może jeden przedsiębiorca wynika z następujących zasad:</w:t>
      </w:r>
    </w:p>
    <w:p w14:paraId="71A13DE9" w14:textId="77777777" w:rsidR="005C1E17" w:rsidRPr="0068560E" w:rsidRDefault="005C1E17" w:rsidP="00E83E55">
      <w:pPr>
        <w:pStyle w:val="Teksttreci0"/>
        <w:numPr>
          <w:ilvl w:val="0"/>
          <w:numId w:val="4"/>
        </w:numPr>
        <w:shd w:val="clear" w:color="auto" w:fill="auto"/>
        <w:tabs>
          <w:tab w:val="left" w:pos="1140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jeden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Ostateczny Odbiorca może otrzymać w ramach przyznanego Limitu Pożyczki Rozwojowej kilka Jednostkowych Pożyczek Rozwojowych;</w:t>
      </w:r>
    </w:p>
    <w:p w14:paraId="51D1065C" w14:textId="77777777" w:rsidR="005C1E17" w:rsidRPr="0068560E" w:rsidRDefault="005C1E17" w:rsidP="00E83E55">
      <w:pPr>
        <w:pStyle w:val="Teksttreci0"/>
        <w:numPr>
          <w:ilvl w:val="0"/>
          <w:numId w:val="4"/>
        </w:numPr>
        <w:shd w:val="clear" w:color="auto" w:fill="auto"/>
        <w:tabs>
          <w:tab w:val="left" w:pos="1140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maksymalna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wartość udzielonych jednostkowych Pożyczek Rozwojowych jednemu przedsiębiorstwu nie może być wyższa niż 1 500 000,00 zł z zastrzeżeniem zapisów zawartych w </w:t>
      </w:r>
      <w:proofErr w:type="spellStart"/>
      <w:r w:rsidRPr="0068560E">
        <w:rPr>
          <w:rFonts w:asciiTheme="minorHAnsi" w:hAnsiTheme="minorHAnsi" w:cstheme="minorHAnsi"/>
          <w:color w:val="000000"/>
          <w:lang w:eastAsia="pl-PL" w:bidi="pl-PL"/>
        </w:rPr>
        <w:t>ppkt</w:t>
      </w:r>
      <w:proofErr w:type="spell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. </w:t>
      </w: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c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>) poniżej;</w:t>
      </w:r>
    </w:p>
    <w:p w14:paraId="5AEDD4DB" w14:textId="77777777" w:rsidR="005C1E17" w:rsidRPr="0068560E" w:rsidRDefault="005C1E17" w:rsidP="00E83E55">
      <w:pPr>
        <w:pStyle w:val="Teksttreci0"/>
        <w:numPr>
          <w:ilvl w:val="0"/>
          <w:numId w:val="4"/>
        </w:numPr>
        <w:shd w:val="clear" w:color="auto" w:fill="auto"/>
        <w:tabs>
          <w:tab w:val="left" w:pos="1140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jeden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Ostateczny Odbiorca może otrzymać w ramach Limitu Pożyczki Rozwojowej dodatkowe Jednostkowe Pożyczki Rozwojowe pod warunkiem spełnienia równocześnie poniższych warunków:</w:t>
      </w:r>
    </w:p>
    <w:p w14:paraId="710BC2CD" w14:textId="2C6398DC" w:rsidR="005C1E17" w:rsidRPr="0068560E" w:rsidRDefault="005C1E17" w:rsidP="00E83E55">
      <w:pPr>
        <w:pStyle w:val="Teksttreci0"/>
        <w:numPr>
          <w:ilvl w:val="0"/>
          <w:numId w:val="5"/>
        </w:numPr>
        <w:shd w:val="clear" w:color="auto" w:fill="auto"/>
        <w:tabs>
          <w:tab w:val="left" w:pos="1718"/>
        </w:tabs>
        <w:spacing w:line="276" w:lineRule="auto"/>
        <w:ind w:left="1378" w:hanging="357"/>
        <w:jc w:val="both"/>
        <w:rPr>
          <w:rFonts w:asciiTheme="minorHAnsi" w:hAnsiTheme="minorHAnsi" w:cstheme="minorHAnsi"/>
        </w:rPr>
      </w:pPr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wystąpienie do Pośrednika Finansowego z wnioskiem o dodatkową Jednostkową Pożyczkę Rozwojową, nie wcześniej niż na 30 dni przed upływem </w:t>
      </w: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terminu o którym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mowa w punkcie I.3.;</w:t>
      </w:r>
    </w:p>
    <w:p w14:paraId="03EBF802" w14:textId="7B275E6A" w:rsidR="005C1E17" w:rsidRPr="0068560E" w:rsidRDefault="005C1E17" w:rsidP="00E83E55">
      <w:pPr>
        <w:pStyle w:val="Teksttreci0"/>
        <w:numPr>
          <w:ilvl w:val="0"/>
          <w:numId w:val="5"/>
        </w:numPr>
        <w:shd w:val="clear" w:color="auto" w:fill="auto"/>
        <w:tabs>
          <w:tab w:val="left" w:pos="1718"/>
        </w:tabs>
        <w:spacing w:line="276" w:lineRule="auto"/>
        <w:ind w:left="1378" w:hanging="357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spełnienia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przez wnioskowaną dodatkową Jednostkową Pożyczkę Rozwojową wymogów określonych dla pożyczki w Metryce Instrumentu Finansowego Pożyczka Rozwojowa</w:t>
      </w:r>
    </w:p>
    <w:p w14:paraId="28047FD5" w14:textId="77777777" w:rsidR="00D73D35" w:rsidRPr="0068560E" w:rsidRDefault="00D73D35" w:rsidP="00E83E55">
      <w:pPr>
        <w:pStyle w:val="Akapitzlist"/>
        <w:ind w:left="2148"/>
        <w:jc w:val="both"/>
        <w:rPr>
          <w:rFonts w:asciiTheme="minorHAnsi" w:hAnsiTheme="minorHAnsi" w:cstheme="minorHAnsi"/>
          <w:sz w:val="22"/>
          <w:szCs w:val="22"/>
        </w:rPr>
      </w:pPr>
    </w:p>
    <w:p w14:paraId="4FA8E572" w14:textId="36BDF2D9" w:rsidR="007B6949" w:rsidRPr="00E22B32" w:rsidRDefault="005C1E17" w:rsidP="00E83E55">
      <w:pPr>
        <w:pStyle w:val="Akapitzlis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B32">
        <w:rPr>
          <w:rFonts w:asciiTheme="minorHAnsi" w:hAnsiTheme="minorHAnsi" w:cstheme="minorHAnsi"/>
          <w:b/>
          <w:bCs/>
          <w:color w:val="000000"/>
          <w:sz w:val="22"/>
          <w:szCs w:val="22"/>
          <w:lang w:bidi="pl-PL"/>
        </w:rPr>
        <w:t>Zasady odpłatności za udzielenie Pożyczki Rozwojowej</w:t>
      </w:r>
      <w:r w:rsidRPr="00E22B3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D7722CE" w14:textId="77777777" w:rsidR="00D73D35" w:rsidRPr="0068560E" w:rsidRDefault="00D73D35" w:rsidP="00E83E55">
      <w:pPr>
        <w:pStyle w:val="Akapitzlist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39BFD4" w14:textId="3F8B1D39" w:rsidR="005C1E17" w:rsidRPr="0068560E" w:rsidRDefault="005C1E17" w:rsidP="00E83E55">
      <w:pPr>
        <w:pStyle w:val="Teksttreci0"/>
        <w:shd w:val="clear" w:color="auto" w:fill="auto"/>
        <w:tabs>
          <w:tab w:val="left" w:pos="567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1. </w:t>
      </w:r>
      <w:r w:rsidR="00076399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Pr="0068560E">
        <w:rPr>
          <w:rFonts w:asciiTheme="minorHAnsi" w:hAnsiTheme="minorHAnsi" w:cstheme="minorHAnsi"/>
          <w:color w:val="000000"/>
          <w:lang w:eastAsia="pl-PL" w:bidi="pl-PL"/>
        </w:rPr>
        <w:t>Pożyczka może być oprocentowana:</w:t>
      </w:r>
    </w:p>
    <w:p w14:paraId="7D8112EF" w14:textId="715A55DA" w:rsidR="005C1E17" w:rsidRPr="0068560E" w:rsidRDefault="005C1E17" w:rsidP="00E83E55">
      <w:pPr>
        <w:pStyle w:val="Teksttreci0"/>
        <w:shd w:val="clear" w:color="auto" w:fill="auto"/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076399">
        <w:rPr>
          <w:rFonts w:asciiTheme="minorHAnsi" w:hAnsiTheme="minorHAnsi" w:cstheme="minorHAnsi"/>
          <w:color w:val="000000"/>
          <w:lang w:eastAsia="pl-PL" w:bidi="pl-PL"/>
        </w:rPr>
        <w:t>1)</w:t>
      </w:r>
      <w:r w:rsidRPr="0068560E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 na warunkach rynkowych</w:t>
      </w:r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, </w:t>
      </w:r>
      <w:r w:rsidRPr="0068560E">
        <w:rPr>
          <w:rFonts w:asciiTheme="minorHAnsi" w:hAnsiTheme="minorHAnsi" w:cstheme="minorHAnsi"/>
          <w:color w:val="000000"/>
          <w:u w:val="single"/>
          <w:lang w:eastAsia="pl-PL" w:bidi="pl-PL"/>
        </w:rPr>
        <w:t>według stopy referencyjnej</w:t>
      </w:r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obliczanej przy zastosowaniu obowiązującej stopy bazowej oraz marży ustalonej w oparciu o Komunikat Komisji Europejskiej w sprawie zmiany metody ustalania stóp referencyjnych i dyskontowych (Dz.</w:t>
      </w:r>
      <w:r w:rsidR="00757BA4">
        <w:rPr>
          <w:rFonts w:asciiTheme="minorHAnsi" w:hAnsiTheme="minorHAnsi" w:cstheme="minorHAnsi"/>
          <w:color w:val="000000"/>
          <w:lang w:eastAsia="pl-PL" w:bidi="pl-PL"/>
        </w:rPr>
        <w:t> </w:t>
      </w:r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Urz. UE C 14 z 19.1.2008 </w:t>
      </w: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r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>. lub komunikatu zastępującego) oraz po przeprowadzeniu analizy ryzyka niespłacenia zaciągniętego przez przedsiębiorcę zobowiązania na podstawie wdrożonej i akceptowanej w sektorze finansowym metodologii wyznaczania współczynnika ryzyka.</w:t>
      </w:r>
    </w:p>
    <w:p w14:paraId="5BC062D1" w14:textId="77777777" w:rsidR="005C1E17" w:rsidRPr="0068560E" w:rsidRDefault="005C1E17" w:rsidP="00E83E55">
      <w:pPr>
        <w:pStyle w:val="Teksttreci0"/>
        <w:shd w:val="clear" w:color="auto" w:fill="auto"/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68560E">
        <w:rPr>
          <w:rFonts w:asciiTheme="minorHAnsi" w:hAnsiTheme="minorHAnsi" w:cstheme="minorHAnsi"/>
          <w:b/>
          <w:bCs/>
          <w:color w:val="000000"/>
          <w:lang w:eastAsia="pl-PL" w:bidi="pl-PL"/>
        </w:rPr>
        <w:t>Stopa bazowa publikowana jest przez Komisję Europejską w dzienniku Urzędowym Unii Europejskiej i dostępna jest na stronie:</w:t>
      </w:r>
    </w:p>
    <w:p w14:paraId="7E9BDFD6" w14:textId="056E1248" w:rsidR="005C1E17" w:rsidRPr="00232A35" w:rsidRDefault="00757BA4" w:rsidP="00E83E55">
      <w:pPr>
        <w:pStyle w:val="Teksttreci0"/>
        <w:shd w:val="clear" w:color="auto" w:fill="auto"/>
        <w:spacing w:line="276" w:lineRule="auto"/>
        <w:ind w:left="993"/>
        <w:jc w:val="both"/>
        <w:rPr>
          <w:rFonts w:asciiTheme="minorHAnsi" w:hAnsiTheme="minorHAnsi" w:cstheme="minorHAnsi"/>
          <w:lang w:val="en-US"/>
        </w:rPr>
      </w:pPr>
      <w:hyperlink r:id="rId9" w:history="1">
        <w:r w:rsidR="00076399" w:rsidRPr="00727055">
          <w:rPr>
            <w:rStyle w:val="Hipercze"/>
            <w:rFonts w:asciiTheme="minorHAnsi" w:hAnsiTheme="minorHAnsi" w:cstheme="minorHAnsi"/>
            <w:lang w:val="en-US" w:bidi="en-US"/>
          </w:rPr>
          <w:t xml:space="preserve">http://ec.europa.eu/competition/state </w:t>
        </w:r>
        <w:r w:rsidR="00076399" w:rsidRPr="00232A35">
          <w:rPr>
            <w:rStyle w:val="Hipercze"/>
            <w:rFonts w:asciiTheme="minorHAnsi" w:hAnsiTheme="minorHAnsi" w:cstheme="minorHAnsi"/>
            <w:lang w:val="en-US" w:eastAsia="pl-PL" w:bidi="pl-PL"/>
          </w:rPr>
          <w:t xml:space="preserve">aid/legislation/reference </w:t>
        </w:r>
        <w:r w:rsidR="00076399" w:rsidRPr="00727055">
          <w:rPr>
            <w:rStyle w:val="Hipercze"/>
            <w:rFonts w:asciiTheme="minorHAnsi" w:hAnsiTheme="minorHAnsi" w:cstheme="minorHAnsi"/>
            <w:lang w:val="en-US" w:bidi="en-US"/>
          </w:rPr>
          <w:t>rates.html</w:t>
        </w:r>
      </w:hyperlink>
    </w:p>
    <w:p w14:paraId="3CE714DF" w14:textId="77777777" w:rsidR="005C1E17" w:rsidRPr="0068560E" w:rsidRDefault="005C1E17" w:rsidP="00E83E55">
      <w:pPr>
        <w:pStyle w:val="Teksttreci0"/>
        <w:shd w:val="clear" w:color="auto" w:fill="auto"/>
        <w:spacing w:line="276" w:lineRule="auto"/>
        <w:ind w:left="993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oraz</w:t>
      </w:r>
      <w:proofErr w:type="gramEnd"/>
    </w:p>
    <w:p w14:paraId="081879DE" w14:textId="740F2A65" w:rsidR="005C1E17" w:rsidRPr="0068560E" w:rsidRDefault="00757BA4" w:rsidP="00E83E55">
      <w:pPr>
        <w:pStyle w:val="Teksttreci0"/>
        <w:shd w:val="clear" w:color="auto" w:fill="auto"/>
        <w:spacing w:line="276" w:lineRule="auto"/>
        <w:ind w:left="993"/>
        <w:jc w:val="both"/>
        <w:rPr>
          <w:rFonts w:asciiTheme="minorHAnsi" w:hAnsiTheme="minorHAnsi" w:cstheme="minorHAnsi"/>
        </w:rPr>
      </w:pPr>
      <w:hyperlink r:id="rId10" w:history="1">
        <w:r w:rsidR="00076399" w:rsidRPr="00232A35">
          <w:rPr>
            <w:rStyle w:val="Hipercze"/>
            <w:rFonts w:asciiTheme="minorHAnsi" w:hAnsiTheme="minorHAnsi" w:cstheme="minorHAnsi"/>
            <w:lang w:bidi="en-US"/>
          </w:rPr>
          <w:t xml:space="preserve">https://uokik.gov.pl/stopa </w:t>
        </w:r>
        <w:r w:rsidR="00076399" w:rsidRPr="00727055">
          <w:rPr>
            <w:rStyle w:val="Hipercze"/>
            <w:rFonts w:asciiTheme="minorHAnsi" w:hAnsiTheme="minorHAnsi" w:cstheme="minorHAnsi"/>
            <w:lang w:eastAsia="pl-PL" w:bidi="pl-PL"/>
          </w:rPr>
          <w:t xml:space="preserve">referencyjna i </w:t>
        </w:r>
        <w:proofErr w:type="spellStart"/>
        <w:r w:rsidR="00076399" w:rsidRPr="00727055">
          <w:rPr>
            <w:rStyle w:val="Hipercze"/>
            <w:rFonts w:asciiTheme="minorHAnsi" w:hAnsiTheme="minorHAnsi" w:cstheme="minorHAnsi"/>
            <w:lang w:eastAsia="pl-PL" w:bidi="pl-PL"/>
          </w:rPr>
          <w:t>archiwum.php</w:t>
        </w:r>
        <w:proofErr w:type="spellEnd"/>
      </w:hyperlink>
    </w:p>
    <w:p w14:paraId="2E07FEBC" w14:textId="77777777" w:rsidR="005C1E17" w:rsidRPr="0068560E" w:rsidRDefault="005C1E17" w:rsidP="00E83E55">
      <w:pPr>
        <w:pStyle w:val="Nagwek20"/>
        <w:keepNext/>
        <w:keepLines/>
        <w:shd w:val="clear" w:color="auto" w:fill="auto"/>
        <w:spacing w:after="120" w:line="276" w:lineRule="auto"/>
        <w:ind w:left="1037" w:hanging="357"/>
        <w:jc w:val="both"/>
        <w:rPr>
          <w:rFonts w:asciiTheme="minorHAnsi" w:hAnsiTheme="minorHAnsi" w:cstheme="minorHAnsi"/>
        </w:rPr>
      </w:pPr>
      <w:bookmarkStart w:id="1" w:name="bookmark18"/>
      <w:bookmarkStart w:id="2" w:name="bookmark19"/>
      <w:r w:rsidRPr="00076399"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  <w:t>2)</w:t>
      </w:r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na warunkach korzystniejszych niż rynkowe, </w:t>
      </w:r>
      <w:r w:rsidRPr="0068560E"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  <w:t>w przypadku:</w:t>
      </w:r>
      <w:bookmarkEnd w:id="1"/>
      <w:bookmarkEnd w:id="2"/>
    </w:p>
    <w:p w14:paraId="03C437E9" w14:textId="77777777" w:rsidR="005C1E17" w:rsidRPr="0068560E" w:rsidRDefault="005C1E17" w:rsidP="00E83E55">
      <w:pPr>
        <w:pStyle w:val="Teksttreci0"/>
        <w:numPr>
          <w:ilvl w:val="0"/>
          <w:numId w:val="6"/>
        </w:numPr>
        <w:shd w:val="clear" w:color="auto" w:fill="auto"/>
        <w:tabs>
          <w:tab w:val="left" w:pos="348"/>
        </w:tabs>
        <w:spacing w:line="276" w:lineRule="auto"/>
        <w:ind w:left="1037" w:hanging="357"/>
        <w:jc w:val="center"/>
        <w:rPr>
          <w:rFonts w:asciiTheme="minorHAnsi" w:hAnsiTheme="minorHAnsi" w:cstheme="minorHAnsi"/>
        </w:rPr>
      </w:pPr>
      <w:r w:rsidRPr="0068560E">
        <w:rPr>
          <w:rFonts w:asciiTheme="minorHAnsi" w:hAnsiTheme="minorHAnsi" w:cstheme="minorHAnsi"/>
          <w:color w:val="000000"/>
          <w:lang w:eastAsia="pl-PL" w:bidi="pl-PL"/>
        </w:rPr>
        <w:t>Projektów realizowanych na wybranych Obszarach Strategicznej Interwencji</w:t>
      </w:r>
      <w:r w:rsidRPr="0068560E">
        <w:rPr>
          <w:rFonts w:asciiTheme="minorHAnsi" w:hAnsiTheme="minorHAnsi" w:cstheme="minorHAnsi"/>
          <w:color w:val="000000"/>
          <w:vertAlign w:val="superscript"/>
          <w:lang w:eastAsia="pl-PL" w:bidi="pl-PL"/>
        </w:rPr>
        <w:footnoteReference w:id="1"/>
      </w:r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tj.:</w:t>
      </w:r>
    </w:p>
    <w:p w14:paraId="19A18F4F" w14:textId="3E872BCC" w:rsidR="005C1E17" w:rsidRPr="0068560E" w:rsidRDefault="005C1E17" w:rsidP="00E83E55">
      <w:pPr>
        <w:pStyle w:val="Teksttreci0"/>
        <w:numPr>
          <w:ilvl w:val="0"/>
          <w:numId w:val="7"/>
        </w:numPr>
        <w:shd w:val="clear" w:color="auto" w:fill="auto"/>
        <w:tabs>
          <w:tab w:val="left" w:pos="1495"/>
        </w:tabs>
        <w:spacing w:line="276" w:lineRule="auto"/>
        <w:ind w:left="1559"/>
        <w:jc w:val="both"/>
        <w:rPr>
          <w:rFonts w:asciiTheme="minorHAnsi" w:hAnsiTheme="minorHAnsi" w:cstheme="minorHAnsi"/>
        </w:rPr>
      </w:pPr>
      <w:r w:rsidRPr="0068560E">
        <w:rPr>
          <w:rFonts w:asciiTheme="minorHAnsi" w:hAnsiTheme="minorHAnsi" w:cstheme="minorHAnsi"/>
          <w:color w:val="000000"/>
          <w:lang w:eastAsia="pl-PL" w:bidi="pl-PL"/>
        </w:rPr>
        <w:t>Obszary peryferyzacji społeczno-gospodarczej;</w:t>
      </w:r>
    </w:p>
    <w:p w14:paraId="66037CE0" w14:textId="77777777" w:rsidR="005C1E17" w:rsidRPr="0068560E" w:rsidRDefault="005C1E17" w:rsidP="00E83E55">
      <w:pPr>
        <w:pStyle w:val="Teksttreci0"/>
        <w:numPr>
          <w:ilvl w:val="0"/>
          <w:numId w:val="7"/>
        </w:numPr>
        <w:shd w:val="clear" w:color="auto" w:fill="auto"/>
        <w:tabs>
          <w:tab w:val="left" w:pos="1495"/>
        </w:tabs>
        <w:spacing w:line="276" w:lineRule="auto"/>
        <w:ind w:left="1559"/>
        <w:jc w:val="both"/>
        <w:rPr>
          <w:rFonts w:asciiTheme="minorHAnsi" w:hAnsiTheme="minorHAnsi" w:cstheme="minorHAnsi"/>
        </w:rPr>
      </w:pPr>
      <w:r w:rsidRPr="0068560E">
        <w:rPr>
          <w:rFonts w:asciiTheme="minorHAnsi" w:hAnsiTheme="minorHAnsi" w:cstheme="minorHAnsi"/>
          <w:color w:val="000000"/>
          <w:lang w:eastAsia="pl-PL" w:bidi="pl-PL"/>
        </w:rPr>
        <w:t>Obszary o słabym dostępie do usług publicznych;</w:t>
      </w:r>
    </w:p>
    <w:p w14:paraId="2EDA798A" w14:textId="77777777" w:rsidR="005C1E17" w:rsidRPr="0068560E" w:rsidRDefault="005C1E17" w:rsidP="00E83E55">
      <w:pPr>
        <w:pStyle w:val="Teksttreci0"/>
        <w:numPr>
          <w:ilvl w:val="0"/>
          <w:numId w:val="7"/>
        </w:numPr>
        <w:shd w:val="clear" w:color="auto" w:fill="auto"/>
        <w:tabs>
          <w:tab w:val="left" w:pos="1495"/>
        </w:tabs>
        <w:spacing w:line="276" w:lineRule="auto"/>
        <w:ind w:left="1559"/>
        <w:jc w:val="both"/>
        <w:rPr>
          <w:rFonts w:asciiTheme="minorHAnsi" w:hAnsiTheme="minorHAnsi" w:cstheme="minorHAnsi"/>
        </w:rPr>
      </w:pPr>
      <w:r w:rsidRPr="0068560E">
        <w:rPr>
          <w:rFonts w:asciiTheme="minorHAnsi" w:hAnsiTheme="minorHAnsi" w:cstheme="minorHAnsi"/>
          <w:color w:val="000000"/>
          <w:lang w:eastAsia="pl-PL" w:bidi="pl-PL"/>
        </w:rPr>
        <w:t>Obszary przygraniczne.</w:t>
      </w:r>
    </w:p>
    <w:p w14:paraId="6090E6A6" w14:textId="77777777" w:rsidR="00247B20" w:rsidRDefault="00247B20">
      <w:pPr>
        <w:rPr>
          <w:rFonts w:asciiTheme="minorHAnsi" w:eastAsia="Calibri" w:hAnsiTheme="minorHAnsi" w:cstheme="minorHAnsi"/>
          <w:color w:val="000000"/>
          <w:sz w:val="22"/>
          <w:szCs w:val="22"/>
          <w:lang w:bidi="pl-PL"/>
        </w:rPr>
      </w:pPr>
      <w:r>
        <w:rPr>
          <w:rFonts w:asciiTheme="minorHAnsi" w:hAnsiTheme="minorHAnsi" w:cstheme="minorHAnsi"/>
          <w:color w:val="000000"/>
          <w:lang w:bidi="pl-PL"/>
        </w:rPr>
        <w:br w:type="page"/>
      </w:r>
    </w:p>
    <w:p w14:paraId="0E7566A6" w14:textId="62A7F990" w:rsidR="005C1E17" w:rsidRPr="0068560E" w:rsidRDefault="005C1E17" w:rsidP="00E83E55">
      <w:pPr>
        <w:pStyle w:val="Teksttreci0"/>
        <w:numPr>
          <w:ilvl w:val="0"/>
          <w:numId w:val="6"/>
        </w:numPr>
        <w:shd w:val="clear" w:color="auto" w:fill="auto"/>
        <w:tabs>
          <w:tab w:val="left" w:pos="1495"/>
        </w:tabs>
        <w:spacing w:line="276" w:lineRule="auto"/>
        <w:ind w:left="1560" w:hanging="426"/>
        <w:jc w:val="both"/>
        <w:rPr>
          <w:rFonts w:asciiTheme="minorHAnsi" w:hAnsiTheme="minorHAnsi" w:cstheme="minorHAnsi"/>
        </w:rPr>
      </w:pPr>
      <w:r w:rsidRPr="0068560E">
        <w:rPr>
          <w:rFonts w:asciiTheme="minorHAnsi" w:hAnsiTheme="minorHAnsi" w:cstheme="minorHAnsi"/>
          <w:color w:val="000000"/>
          <w:lang w:eastAsia="pl-PL" w:bidi="pl-PL"/>
        </w:rPr>
        <w:t>Inwestycji w obszarze inteligentnych specjalizacji województwa warmińsko</w:t>
      </w:r>
      <w:r w:rsidR="00076399">
        <w:rPr>
          <w:rFonts w:asciiTheme="minorHAnsi" w:hAnsiTheme="minorHAnsi" w:cstheme="minorHAnsi"/>
          <w:color w:val="000000"/>
          <w:lang w:eastAsia="pl-PL" w:bidi="pl-PL"/>
        </w:rPr>
        <w:t xml:space="preserve">- </w:t>
      </w:r>
      <w:r w:rsidRPr="0068560E">
        <w:rPr>
          <w:rFonts w:asciiTheme="minorHAnsi" w:hAnsiTheme="minorHAnsi" w:cstheme="minorHAnsi"/>
          <w:color w:val="000000"/>
          <w:lang w:eastAsia="pl-PL" w:bidi="pl-PL"/>
        </w:rPr>
        <w:t>mazurskiego tj.:</w:t>
      </w:r>
    </w:p>
    <w:p w14:paraId="48EF94AB" w14:textId="77777777" w:rsidR="005C1E17" w:rsidRPr="0068560E" w:rsidRDefault="005C1E17" w:rsidP="00E83E55">
      <w:pPr>
        <w:pStyle w:val="Teksttreci0"/>
        <w:numPr>
          <w:ilvl w:val="0"/>
          <w:numId w:val="7"/>
        </w:numPr>
        <w:shd w:val="clear" w:color="auto" w:fill="auto"/>
        <w:tabs>
          <w:tab w:val="left" w:pos="1560"/>
        </w:tabs>
        <w:spacing w:line="276" w:lineRule="auto"/>
        <w:ind w:left="1560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drewno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i meblarstwo;</w:t>
      </w:r>
    </w:p>
    <w:p w14:paraId="2A273DF6" w14:textId="77777777" w:rsidR="005C1E17" w:rsidRPr="0068560E" w:rsidRDefault="005C1E17" w:rsidP="00E83E55">
      <w:pPr>
        <w:pStyle w:val="Teksttreci0"/>
        <w:numPr>
          <w:ilvl w:val="0"/>
          <w:numId w:val="7"/>
        </w:numPr>
        <w:shd w:val="clear" w:color="auto" w:fill="auto"/>
        <w:tabs>
          <w:tab w:val="left" w:pos="1560"/>
        </w:tabs>
        <w:spacing w:line="276" w:lineRule="auto"/>
        <w:ind w:left="1560"/>
        <w:jc w:val="both"/>
        <w:rPr>
          <w:rFonts w:asciiTheme="minorHAnsi" w:hAnsiTheme="minorHAnsi" w:cstheme="minorHAnsi"/>
        </w:rPr>
      </w:pPr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żywność </w:t>
      </w: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wysokiej jakości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>;</w:t>
      </w:r>
    </w:p>
    <w:p w14:paraId="3E80D80A" w14:textId="77777777" w:rsidR="005C1E17" w:rsidRPr="0068560E" w:rsidRDefault="005C1E17" w:rsidP="00E83E55">
      <w:pPr>
        <w:pStyle w:val="Teksttreci0"/>
        <w:numPr>
          <w:ilvl w:val="0"/>
          <w:numId w:val="7"/>
        </w:numPr>
        <w:shd w:val="clear" w:color="auto" w:fill="auto"/>
        <w:tabs>
          <w:tab w:val="left" w:pos="1560"/>
        </w:tabs>
        <w:spacing w:line="276" w:lineRule="auto"/>
        <w:ind w:left="1560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ekonomia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wody.</w:t>
      </w:r>
    </w:p>
    <w:p w14:paraId="6FECD105" w14:textId="77777777" w:rsidR="005C1E17" w:rsidRPr="0068560E" w:rsidRDefault="005C1E17" w:rsidP="00E83E55">
      <w:pPr>
        <w:pStyle w:val="Teksttreci0"/>
        <w:shd w:val="clear" w:color="auto" w:fill="auto"/>
        <w:spacing w:line="276" w:lineRule="auto"/>
        <w:ind w:left="1560"/>
        <w:jc w:val="both"/>
        <w:rPr>
          <w:rFonts w:asciiTheme="minorHAnsi" w:hAnsiTheme="minorHAnsi" w:cstheme="minorHAnsi"/>
        </w:rPr>
      </w:pPr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Poprzez inwestycje w ramach powyższych inteligentnych specjalizacji należy rozumieć takie, które muszą </w:t>
      </w: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spełnić co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najmniej dwa z poniższych warunków łącznie:</w:t>
      </w:r>
    </w:p>
    <w:p w14:paraId="6B1BA167" w14:textId="77777777" w:rsidR="005C1E17" w:rsidRPr="0068560E" w:rsidRDefault="005C1E17" w:rsidP="00E83E55">
      <w:pPr>
        <w:pStyle w:val="Teksttreci0"/>
        <w:numPr>
          <w:ilvl w:val="0"/>
          <w:numId w:val="5"/>
        </w:numPr>
        <w:shd w:val="clear" w:color="auto" w:fill="auto"/>
        <w:tabs>
          <w:tab w:val="left" w:pos="2127"/>
        </w:tabs>
        <w:spacing w:line="276" w:lineRule="auto"/>
        <w:ind w:left="1843" w:hanging="223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wpływ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na eliminowanie negatywnego wpływu zagrożeń i/lub wpływ na wykorzystanie szans zdiagnozowanych w analizie SWOT</w:t>
      </w:r>
      <w:r w:rsidRPr="0068560E">
        <w:rPr>
          <w:rFonts w:asciiTheme="minorHAnsi" w:hAnsiTheme="minorHAnsi" w:cstheme="minorHAnsi"/>
          <w:color w:val="000000"/>
          <w:vertAlign w:val="superscript"/>
          <w:lang w:eastAsia="pl-PL" w:bidi="pl-PL"/>
        </w:rPr>
        <w:footnoteReference w:id="2"/>
      </w:r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dla danej inteligentnej specjalizacji,</w:t>
      </w:r>
    </w:p>
    <w:p w14:paraId="1E0BDE89" w14:textId="77777777" w:rsidR="005C1E17" w:rsidRPr="0068560E" w:rsidRDefault="005C1E17" w:rsidP="00E83E55">
      <w:pPr>
        <w:pStyle w:val="Teksttreci0"/>
        <w:numPr>
          <w:ilvl w:val="0"/>
          <w:numId w:val="5"/>
        </w:numPr>
        <w:shd w:val="clear" w:color="auto" w:fill="auto"/>
        <w:tabs>
          <w:tab w:val="left" w:pos="2127"/>
        </w:tabs>
        <w:spacing w:line="276" w:lineRule="auto"/>
        <w:ind w:left="1843" w:hanging="223"/>
        <w:jc w:val="both"/>
        <w:rPr>
          <w:rFonts w:asciiTheme="minorHAnsi" w:hAnsiTheme="minorHAnsi" w:cstheme="minorHAnsi"/>
        </w:rPr>
      </w:pPr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wpływ na wzmocnienie silnych stron i/lub eliminację słabych stron zdiagnozowanych w analizie SWOT dla danej inteligentnej </w:t>
      </w: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specjalizacji ,</w:t>
      </w:r>
      <w:proofErr w:type="gramEnd"/>
    </w:p>
    <w:p w14:paraId="4864F9D2" w14:textId="77777777" w:rsidR="005C1E17" w:rsidRPr="0068560E" w:rsidRDefault="005C1E17" w:rsidP="00E83E55">
      <w:pPr>
        <w:pStyle w:val="Teksttreci0"/>
        <w:numPr>
          <w:ilvl w:val="0"/>
          <w:numId w:val="5"/>
        </w:numPr>
        <w:shd w:val="clear" w:color="auto" w:fill="auto"/>
        <w:tabs>
          <w:tab w:val="left" w:pos="2127"/>
        </w:tabs>
        <w:spacing w:line="276" w:lineRule="auto"/>
        <w:ind w:left="1843" w:hanging="223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dyfuzję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wyników projektu na więcej niż jeden podmiot działający w obszarze danej inteligentnej specjalizacji,</w:t>
      </w:r>
    </w:p>
    <w:p w14:paraId="7AA68983" w14:textId="56579608" w:rsidR="005C1E17" w:rsidRPr="0068560E" w:rsidRDefault="005C1E17" w:rsidP="00E83E55">
      <w:pPr>
        <w:pStyle w:val="Teksttreci0"/>
        <w:numPr>
          <w:ilvl w:val="0"/>
          <w:numId w:val="5"/>
        </w:numPr>
        <w:shd w:val="clear" w:color="auto" w:fill="auto"/>
        <w:tabs>
          <w:tab w:val="left" w:pos="2127"/>
        </w:tabs>
        <w:spacing w:line="276" w:lineRule="auto"/>
        <w:ind w:left="1843" w:hanging="223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stworzenie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w wyniku projektu możliwości eksportowych w ramach danej specjalizacji i/lub generowanie potencjalnego wzrostu współpracy w</w:t>
      </w:r>
      <w:r w:rsidR="00220194">
        <w:rPr>
          <w:rFonts w:asciiTheme="minorHAnsi" w:hAnsiTheme="minorHAnsi" w:cstheme="minorHAnsi"/>
          <w:color w:val="000000"/>
          <w:lang w:eastAsia="pl-PL" w:bidi="pl-PL"/>
        </w:rPr>
        <w:t> </w:t>
      </w:r>
      <w:r w:rsidRPr="0068560E">
        <w:rPr>
          <w:rFonts w:asciiTheme="minorHAnsi" w:hAnsiTheme="minorHAnsi" w:cstheme="minorHAnsi"/>
          <w:color w:val="000000"/>
          <w:lang w:eastAsia="pl-PL" w:bidi="pl-PL"/>
        </w:rPr>
        <w:t>europejskich łańcuchach wartości,</w:t>
      </w:r>
    </w:p>
    <w:p w14:paraId="2396B7A1" w14:textId="3F1ABFAE" w:rsidR="00D73D35" w:rsidRPr="0068560E" w:rsidRDefault="005C1E17" w:rsidP="00E83E55">
      <w:pPr>
        <w:pStyle w:val="Teksttreci0"/>
        <w:numPr>
          <w:ilvl w:val="0"/>
          <w:numId w:val="5"/>
        </w:numPr>
        <w:shd w:val="clear" w:color="auto" w:fill="auto"/>
        <w:tabs>
          <w:tab w:val="left" w:pos="2127"/>
        </w:tabs>
        <w:spacing w:line="276" w:lineRule="auto"/>
        <w:ind w:left="1843" w:hanging="223"/>
        <w:jc w:val="both"/>
        <w:rPr>
          <w:rFonts w:asciiTheme="minorHAnsi" w:hAnsiTheme="minorHAnsi" w:cstheme="minorHAnsi"/>
        </w:rPr>
      </w:pPr>
      <w:r w:rsidRPr="0068560E">
        <w:rPr>
          <w:rFonts w:asciiTheme="minorHAnsi" w:hAnsiTheme="minorHAnsi" w:cstheme="minorHAnsi"/>
          <w:color w:val="000000"/>
          <w:lang w:bidi="pl-PL"/>
        </w:rPr>
        <w:t xml:space="preserve">wpływ na kreowanie współpracy pomiędzy środowiskiem naukowym, biznesowym, otoczeniem biznesu, administracją w </w:t>
      </w:r>
      <w:proofErr w:type="gramStart"/>
      <w:r w:rsidRPr="0068560E">
        <w:rPr>
          <w:rFonts w:asciiTheme="minorHAnsi" w:hAnsiTheme="minorHAnsi" w:cstheme="minorHAnsi"/>
          <w:color w:val="000000"/>
          <w:lang w:bidi="pl-PL"/>
        </w:rPr>
        <w:t>obrębie co</w:t>
      </w:r>
      <w:proofErr w:type="gramEnd"/>
      <w:r w:rsidRPr="0068560E">
        <w:rPr>
          <w:rFonts w:asciiTheme="minorHAnsi" w:hAnsiTheme="minorHAnsi" w:cstheme="minorHAnsi"/>
          <w:color w:val="000000"/>
          <w:lang w:bidi="pl-PL"/>
        </w:rPr>
        <w:t xml:space="preserve"> najmniej jednej specjalizacji w wyniku realizacji projektu</w:t>
      </w:r>
      <w:r w:rsidR="007B6949" w:rsidRPr="0068560E">
        <w:rPr>
          <w:rFonts w:asciiTheme="minorHAnsi" w:hAnsiTheme="minorHAnsi" w:cstheme="minorHAnsi"/>
        </w:rPr>
        <w:t xml:space="preserve"> </w:t>
      </w:r>
    </w:p>
    <w:p w14:paraId="40F530B0" w14:textId="6609D67A" w:rsidR="005C1E17" w:rsidRPr="0068560E" w:rsidRDefault="005C1E17" w:rsidP="00E83E55">
      <w:pPr>
        <w:pStyle w:val="Teksttreci0"/>
        <w:shd w:val="clear" w:color="auto" w:fill="auto"/>
        <w:spacing w:line="276" w:lineRule="auto"/>
        <w:ind w:left="1560"/>
        <w:jc w:val="both"/>
        <w:rPr>
          <w:rFonts w:asciiTheme="minorHAnsi" w:hAnsiTheme="minorHAnsi" w:cstheme="minorHAnsi"/>
        </w:rPr>
      </w:pP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zgodnie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z zasadami udzielania pomocy de </w:t>
      </w:r>
      <w:proofErr w:type="spellStart"/>
      <w:r w:rsidRPr="0068560E">
        <w:rPr>
          <w:rFonts w:asciiTheme="minorHAnsi" w:hAnsiTheme="minorHAnsi" w:cstheme="minorHAnsi"/>
          <w:color w:val="000000"/>
          <w:lang w:eastAsia="pl-PL" w:bidi="pl-PL"/>
        </w:rPr>
        <w:t>minimis</w:t>
      </w:r>
      <w:proofErr w:type="spellEnd"/>
      <w:r w:rsidRPr="0068560E">
        <w:rPr>
          <w:rFonts w:asciiTheme="minorHAnsi" w:hAnsiTheme="minorHAnsi" w:cstheme="minorHAnsi"/>
          <w:i/>
          <w:iCs/>
          <w:color w:val="000000"/>
          <w:lang w:eastAsia="pl-PL" w:bidi="pl-PL"/>
        </w:rPr>
        <w:t>,</w:t>
      </w:r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o których mowa w</w:t>
      </w:r>
      <w:r w:rsidR="00220194">
        <w:rPr>
          <w:rFonts w:asciiTheme="minorHAnsi" w:hAnsiTheme="minorHAnsi" w:cstheme="minorHAnsi"/>
          <w:color w:val="000000"/>
          <w:lang w:eastAsia="pl-PL" w:bidi="pl-PL"/>
        </w:rPr>
        <w:t> </w:t>
      </w:r>
      <w:r w:rsidRPr="0068560E">
        <w:rPr>
          <w:rFonts w:asciiTheme="minorHAnsi" w:hAnsiTheme="minorHAnsi" w:cstheme="minorHAnsi"/>
          <w:i/>
          <w:iCs/>
          <w:color w:val="000000"/>
          <w:lang w:eastAsia="pl-PL" w:bidi="pl-PL"/>
        </w:rPr>
        <w:t xml:space="preserve">Rozporządzeniu Komisji (UE) nr 1407/2013 z dnia 18 grudnia 2013 r. w sprawie stosowania art. 107 i 108 Traktatu o funkcjonowaniu Unii Europejskiej do pomocy de </w:t>
      </w:r>
      <w:proofErr w:type="spellStart"/>
      <w:r w:rsidRPr="0068560E">
        <w:rPr>
          <w:rFonts w:asciiTheme="minorHAnsi" w:hAnsiTheme="minorHAnsi" w:cstheme="minorHAnsi"/>
          <w:i/>
          <w:iCs/>
          <w:color w:val="000000"/>
          <w:lang w:eastAsia="pl-PL" w:bidi="pl-PL"/>
        </w:rPr>
        <w:t>minimis</w:t>
      </w:r>
      <w:proofErr w:type="spell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oraz </w:t>
      </w:r>
      <w:r w:rsidRPr="0068560E">
        <w:rPr>
          <w:rFonts w:asciiTheme="minorHAnsi" w:hAnsiTheme="minorHAnsi" w:cstheme="minorHAnsi"/>
          <w:i/>
          <w:iCs/>
          <w:color w:val="000000"/>
          <w:lang w:eastAsia="pl-PL" w:bidi="pl-PL"/>
        </w:rPr>
        <w:t xml:space="preserve">Rozporządzenia Ministra Infrastruktury i Rozwoju z dnia 19 marca 2015 r. w sprawie udzielania pomocy de </w:t>
      </w:r>
      <w:proofErr w:type="spellStart"/>
      <w:r w:rsidRPr="0068560E">
        <w:rPr>
          <w:rFonts w:asciiTheme="minorHAnsi" w:hAnsiTheme="minorHAnsi" w:cstheme="minorHAnsi"/>
          <w:i/>
          <w:iCs/>
          <w:color w:val="000000"/>
          <w:lang w:eastAsia="pl-PL" w:bidi="pl-PL"/>
        </w:rPr>
        <w:t>minimis</w:t>
      </w:r>
      <w:proofErr w:type="spellEnd"/>
      <w:r w:rsidRPr="0068560E">
        <w:rPr>
          <w:rFonts w:asciiTheme="minorHAnsi" w:hAnsiTheme="minorHAnsi" w:cstheme="minorHAnsi"/>
          <w:i/>
          <w:iCs/>
          <w:color w:val="000000"/>
          <w:lang w:eastAsia="pl-PL" w:bidi="pl-PL"/>
        </w:rPr>
        <w:t xml:space="preserve"> w ramach regionalnych programów operacyjnych na lata 2014-2020 </w:t>
      </w:r>
      <w:proofErr w:type="spellStart"/>
      <w:r w:rsidRPr="0068560E">
        <w:rPr>
          <w:rFonts w:asciiTheme="minorHAnsi" w:hAnsiTheme="minorHAnsi" w:cstheme="minorHAnsi"/>
          <w:i/>
          <w:iCs/>
          <w:color w:val="000000"/>
          <w:lang w:eastAsia="pl-PL" w:bidi="pl-PL"/>
        </w:rPr>
        <w:t>f</w:t>
      </w:r>
      <w:r w:rsidRPr="0068560E">
        <w:rPr>
          <w:rFonts w:asciiTheme="minorHAnsi" w:hAnsiTheme="minorHAnsi" w:cstheme="minorHAnsi"/>
          <w:color w:val="000000"/>
          <w:lang w:eastAsia="pl-PL" w:bidi="pl-PL"/>
        </w:rPr>
        <w:t>Dz.U</w:t>
      </w:r>
      <w:proofErr w:type="spell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. 2015 </w:t>
      </w: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poz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. 488 z </w:t>
      </w:r>
      <w:proofErr w:type="spellStart"/>
      <w:r w:rsidRPr="0068560E">
        <w:rPr>
          <w:rFonts w:asciiTheme="minorHAnsi" w:hAnsiTheme="minorHAnsi" w:cstheme="minorHAnsi"/>
          <w:color w:val="000000"/>
          <w:lang w:eastAsia="pl-PL" w:bidi="pl-PL"/>
        </w:rPr>
        <w:t>późn</w:t>
      </w:r>
      <w:proofErr w:type="spell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. </w:t>
      </w: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zmianami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). W przypadku wystąpienia pomocy w formie de </w:t>
      </w:r>
      <w:proofErr w:type="spellStart"/>
      <w:r w:rsidRPr="0068560E">
        <w:rPr>
          <w:rFonts w:asciiTheme="minorHAnsi" w:hAnsiTheme="minorHAnsi" w:cstheme="minorHAnsi"/>
          <w:color w:val="000000"/>
          <w:lang w:eastAsia="pl-PL" w:bidi="pl-PL"/>
        </w:rPr>
        <w:t>minimis</w:t>
      </w:r>
      <w:proofErr w:type="spell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obowiązek badania dopuszczalności pomocy, obliczania wartości udzielonej pomocy, zgłaszania faktu udzielenia takiej pomocy, wydania stosownego zaświadczenia oraz składania sprawozdań z udzielonej pomocy publicznej do właściwej instytucji spoczywa na Pośredniku Finansowym, zgodnie z odpowiednimi przepisami.</w:t>
      </w:r>
    </w:p>
    <w:p w14:paraId="151462B9" w14:textId="77777777" w:rsidR="00022EC6" w:rsidRDefault="00022EC6" w:rsidP="00E83E55">
      <w:pPr>
        <w:pStyle w:val="Teksttreci0"/>
        <w:shd w:val="clear" w:color="auto" w:fill="auto"/>
        <w:spacing w:line="276" w:lineRule="auto"/>
        <w:ind w:left="1560"/>
        <w:jc w:val="both"/>
        <w:rPr>
          <w:rFonts w:asciiTheme="minorHAnsi" w:hAnsiTheme="minorHAnsi" w:cstheme="minorHAnsi"/>
          <w:color w:val="000000"/>
          <w:lang w:eastAsia="pl-PL" w:bidi="pl-PL"/>
        </w:rPr>
      </w:pPr>
    </w:p>
    <w:p w14:paraId="79963DDA" w14:textId="77777777" w:rsidR="00247B20" w:rsidRDefault="00247B20">
      <w:pPr>
        <w:rPr>
          <w:rFonts w:asciiTheme="minorHAnsi" w:eastAsia="Calibri" w:hAnsiTheme="minorHAnsi" w:cstheme="minorHAnsi"/>
          <w:color w:val="000000"/>
          <w:sz w:val="22"/>
          <w:szCs w:val="22"/>
          <w:lang w:bidi="pl-PL"/>
        </w:rPr>
      </w:pPr>
      <w:r>
        <w:rPr>
          <w:rFonts w:asciiTheme="minorHAnsi" w:hAnsiTheme="minorHAnsi" w:cstheme="minorHAnsi"/>
          <w:color w:val="000000"/>
          <w:lang w:bidi="pl-PL"/>
        </w:rPr>
        <w:br w:type="page"/>
      </w:r>
    </w:p>
    <w:p w14:paraId="1959A6A2" w14:textId="31ED59AE" w:rsidR="005C1E17" w:rsidRPr="0068560E" w:rsidRDefault="005C1E17" w:rsidP="00E83E55">
      <w:pPr>
        <w:pStyle w:val="Teksttreci0"/>
        <w:shd w:val="clear" w:color="auto" w:fill="auto"/>
        <w:spacing w:line="276" w:lineRule="auto"/>
        <w:ind w:left="1560"/>
        <w:jc w:val="both"/>
        <w:rPr>
          <w:rFonts w:asciiTheme="minorHAnsi" w:hAnsiTheme="minorHAnsi" w:cstheme="minorHAnsi"/>
        </w:rPr>
      </w:pPr>
      <w:r w:rsidRPr="0068560E">
        <w:rPr>
          <w:rFonts w:asciiTheme="minorHAnsi" w:hAnsiTheme="minorHAnsi" w:cstheme="minorHAnsi"/>
          <w:color w:val="000000"/>
          <w:lang w:eastAsia="pl-PL" w:bidi="pl-PL"/>
        </w:rPr>
        <w:t>Oprocentowanie Jednostkowej Pożyczki udzielanej na zasadach korzystniejszych niż rynkowe jest stałe w całym okresie jej obowiązywania i ustalone jest w wysokości:</w:t>
      </w:r>
    </w:p>
    <w:p w14:paraId="1F5A4E66" w14:textId="393B8438" w:rsidR="005C1E17" w:rsidRPr="005A40F0" w:rsidRDefault="00A713EA" w:rsidP="00E83E55">
      <w:pPr>
        <w:pStyle w:val="Teksttreci0"/>
        <w:numPr>
          <w:ilvl w:val="0"/>
          <w:numId w:val="5"/>
        </w:numPr>
        <w:shd w:val="clear" w:color="auto" w:fill="auto"/>
        <w:tabs>
          <w:tab w:val="left" w:pos="1843"/>
        </w:tabs>
        <w:spacing w:line="276" w:lineRule="auto"/>
        <w:ind w:left="1843" w:hanging="283"/>
        <w:jc w:val="both"/>
        <w:rPr>
          <w:rFonts w:asciiTheme="minorHAnsi" w:hAnsiTheme="minorHAnsi" w:cstheme="minorHAnsi"/>
          <w:color w:val="000000" w:themeColor="text1"/>
        </w:rPr>
      </w:pPr>
      <w:r w:rsidRPr="005A40F0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15</w:t>
      </w:r>
      <w:r w:rsidR="005C1E17" w:rsidRPr="005A40F0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% stopy bazowej </w:t>
      </w:r>
      <w:r w:rsidR="005C1E17" w:rsidRPr="005A40F0">
        <w:rPr>
          <w:rFonts w:asciiTheme="minorHAnsi" w:hAnsiTheme="minorHAnsi" w:cstheme="minorHAnsi"/>
          <w:color w:val="000000" w:themeColor="text1"/>
          <w:lang w:eastAsia="pl-PL" w:bidi="pl-PL"/>
        </w:rPr>
        <w:t>dla pożyczek udzielanych w złotych polskich z dnia udzielenia - dla projektów realizowanych na wybranych Obszarach Strategicznej Interwencji;</w:t>
      </w:r>
    </w:p>
    <w:p w14:paraId="667E65B6" w14:textId="727FB4F3" w:rsidR="005C1E17" w:rsidRPr="005A40F0" w:rsidRDefault="00A713EA" w:rsidP="00E83E55">
      <w:pPr>
        <w:pStyle w:val="Teksttreci0"/>
        <w:numPr>
          <w:ilvl w:val="0"/>
          <w:numId w:val="5"/>
        </w:numPr>
        <w:shd w:val="clear" w:color="auto" w:fill="auto"/>
        <w:tabs>
          <w:tab w:val="left" w:pos="1843"/>
        </w:tabs>
        <w:spacing w:line="276" w:lineRule="auto"/>
        <w:ind w:left="1843" w:hanging="283"/>
        <w:jc w:val="both"/>
        <w:rPr>
          <w:rFonts w:asciiTheme="minorHAnsi" w:hAnsiTheme="minorHAnsi" w:cstheme="minorHAnsi"/>
          <w:color w:val="000000" w:themeColor="text1"/>
        </w:rPr>
      </w:pPr>
      <w:r w:rsidRPr="005A40F0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25% </w:t>
      </w:r>
      <w:r w:rsidR="005C1E17" w:rsidRPr="005A40F0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stopy bazowej </w:t>
      </w:r>
      <w:r w:rsidR="005C1E17" w:rsidRPr="005A40F0">
        <w:rPr>
          <w:rFonts w:asciiTheme="minorHAnsi" w:hAnsiTheme="minorHAnsi" w:cstheme="minorHAnsi"/>
          <w:color w:val="000000" w:themeColor="text1"/>
          <w:lang w:eastAsia="pl-PL" w:bidi="pl-PL"/>
        </w:rPr>
        <w:t>dla pożyczek udzielanych w złotych polskich z dnia udzielenia - dla Inwestycji w obszarze inteligentnych specjalizacji województwa warmińsko - mazurskiego.</w:t>
      </w:r>
    </w:p>
    <w:p w14:paraId="1A10DBF9" w14:textId="1E24898A" w:rsidR="005C1E17" w:rsidRPr="0068560E" w:rsidRDefault="005C1E17" w:rsidP="00E83E55">
      <w:pPr>
        <w:pStyle w:val="Teksttreci0"/>
        <w:shd w:val="clear" w:color="auto" w:fill="auto"/>
        <w:spacing w:line="276" w:lineRule="auto"/>
        <w:ind w:left="1560"/>
        <w:jc w:val="both"/>
        <w:rPr>
          <w:rFonts w:asciiTheme="minorHAnsi" w:hAnsiTheme="minorHAnsi" w:cstheme="minorHAnsi"/>
          <w:color w:val="000000"/>
          <w:lang w:eastAsia="pl-PL" w:bidi="pl-PL"/>
        </w:rPr>
      </w:pPr>
      <w:r w:rsidRPr="0068560E">
        <w:rPr>
          <w:rFonts w:asciiTheme="minorHAnsi" w:hAnsiTheme="minorHAnsi" w:cstheme="minorHAnsi"/>
          <w:color w:val="000000"/>
          <w:lang w:eastAsia="pl-PL" w:bidi="pl-PL"/>
        </w:rPr>
        <w:t>przy czym wysokość stopy bazowej określona jest przez Komisję Europejską zgodnie z Komunikatem w sprawie zmiany metody ustalania stóp referencyjnych i</w:t>
      </w:r>
      <w:r w:rsidR="00757BA4">
        <w:rPr>
          <w:rFonts w:asciiTheme="minorHAnsi" w:hAnsiTheme="minorHAnsi" w:cstheme="minorHAnsi"/>
          <w:color w:val="000000"/>
          <w:lang w:eastAsia="pl-PL" w:bidi="pl-PL"/>
        </w:rPr>
        <w:t> </w:t>
      </w:r>
      <w:r w:rsidRPr="0068560E">
        <w:rPr>
          <w:rFonts w:asciiTheme="minorHAnsi" w:hAnsiTheme="minorHAnsi" w:cstheme="minorHAnsi"/>
          <w:color w:val="000000"/>
          <w:lang w:eastAsia="pl-PL" w:bidi="pl-PL"/>
        </w:rPr>
        <w:t>dyskontowych nr 2008/</w:t>
      </w:r>
      <w:proofErr w:type="gramStart"/>
      <w:r w:rsidRPr="0068560E">
        <w:rPr>
          <w:rFonts w:asciiTheme="minorHAnsi" w:hAnsiTheme="minorHAnsi" w:cstheme="minorHAnsi"/>
          <w:color w:val="000000"/>
          <w:lang w:eastAsia="pl-PL" w:bidi="pl-PL"/>
        </w:rPr>
        <w:t>C 14/02 o którym</w:t>
      </w:r>
      <w:proofErr w:type="gram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mowa w </w:t>
      </w:r>
      <w:proofErr w:type="spellStart"/>
      <w:r w:rsidRPr="0068560E">
        <w:rPr>
          <w:rFonts w:asciiTheme="minorHAnsi" w:hAnsiTheme="minorHAnsi" w:cstheme="minorHAnsi"/>
          <w:color w:val="000000"/>
          <w:lang w:eastAsia="pl-PL" w:bidi="pl-PL"/>
        </w:rPr>
        <w:t>ppkt</w:t>
      </w:r>
      <w:proofErr w:type="spell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1) powyżej</w:t>
      </w:r>
      <w:r w:rsidRPr="0068560E">
        <w:rPr>
          <w:rFonts w:asciiTheme="minorHAnsi" w:hAnsiTheme="minorHAnsi" w:cstheme="minorHAnsi"/>
          <w:color w:val="000000"/>
          <w:vertAlign w:val="superscript"/>
          <w:lang w:eastAsia="pl-PL" w:bidi="pl-PL"/>
        </w:rPr>
        <w:footnoteReference w:id="3"/>
      </w:r>
      <w:r w:rsidRPr="0068560E">
        <w:rPr>
          <w:rFonts w:asciiTheme="minorHAnsi" w:hAnsiTheme="minorHAnsi" w:cstheme="minorHAnsi"/>
          <w:color w:val="000000"/>
          <w:lang w:eastAsia="pl-PL" w:bidi="pl-PL"/>
        </w:rPr>
        <w:t>.</w:t>
      </w:r>
    </w:p>
    <w:p w14:paraId="638C799F" w14:textId="77777777" w:rsidR="005C1E17" w:rsidRPr="0068560E" w:rsidRDefault="005C1E17" w:rsidP="00E83E55">
      <w:pPr>
        <w:pStyle w:val="Teksttreci0"/>
        <w:numPr>
          <w:ilvl w:val="0"/>
          <w:numId w:val="8"/>
        </w:numPr>
        <w:shd w:val="clear" w:color="auto" w:fill="auto"/>
        <w:tabs>
          <w:tab w:val="left" w:pos="420"/>
        </w:tabs>
        <w:spacing w:line="276" w:lineRule="auto"/>
        <w:ind w:left="709" w:hanging="284"/>
        <w:jc w:val="both"/>
        <w:rPr>
          <w:rFonts w:asciiTheme="minorHAnsi" w:hAnsiTheme="minorHAnsi" w:cstheme="minorHAnsi"/>
        </w:rPr>
      </w:pPr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W przypadku niespełnienia przez Pożyczkobiorcę jakiegokolwiek z warunków umożliwiających udzielenie pomocy de </w:t>
      </w:r>
      <w:proofErr w:type="spellStart"/>
      <w:r w:rsidRPr="0068560E">
        <w:rPr>
          <w:rFonts w:asciiTheme="minorHAnsi" w:hAnsiTheme="minorHAnsi" w:cstheme="minorHAnsi"/>
          <w:color w:val="000000"/>
          <w:lang w:eastAsia="pl-PL" w:bidi="pl-PL"/>
        </w:rPr>
        <w:t>minimis</w:t>
      </w:r>
      <w:proofErr w:type="spellEnd"/>
      <w:r w:rsidRPr="0068560E">
        <w:rPr>
          <w:rFonts w:asciiTheme="minorHAnsi" w:hAnsiTheme="minorHAnsi" w:cstheme="minorHAnsi"/>
          <w:color w:val="000000"/>
          <w:lang w:eastAsia="pl-PL" w:bidi="pl-PL"/>
        </w:rPr>
        <w:t xml:space="preserve"> finansowanie jest udzielane na zasadach rynkowych.</w:t>
      </w:r>
    </w:p>
    <w:p w14:paraId="3AE33E57" w14:textId="4811319A" w:rsidR="005C1E17" w:rsidRPr="0068560E" w:rsidRDefault="005C1E17" w:rsidP="00E83E55">
      <w:pPr>
        <w:pStyle w:val="Teksttreci0"/>
        <w:numPr>
          <w:ilvl w:val="0"/>
          <w:numId w:val="8"/>
        </w:numPr>
        <w:shd w:val="clear" w:color="auto" w:fill="auto"/>
        <w:tabs>
          <w:tab w:val="left" w:pos="420"/>
        </w:tabs>
        <w:spacing w:line="276" w:lineRule="auto"/>
        <w:ind w:left="709" w:hanging="284"/>
        <w:jc w:val="both"/>
        <w:rPr>
          <w:rFonts w:asciiTheme="minorHAnsi" w:hAnsiTheme="minorHAnsi" w:cstheme="minorHAnsi"/>
        </w:rPr>
      </w:pPr>
      <w:r w:rsidRPr="0068560E">
        <w:rPr>
          <w:rFonts w:asciiTheme="minorHAnsi" w:hAnsiTheme="minorHAnsi" w:cstheme="minorHAnsi"/>
          <w:color w:val="000000"/>
          <w:lang w:eastAsia="pl-PL" w:bidi="pl-PL"/>
        </w:rPr>
        <w:t>Od środków Pożyczki nie pobiera się żadnych opłat i prowizji związanych z ich udostępnieniem i obsługą. Powyższe nie dotyczy odrębnie uregulowanych czynności windykacyjnych.</w:t>
      </w:r>
    </w:p>
    <w:p w14:paraId="56A8B490" w14:textId="2123ED6D" w:rsidR="005C1E17" w:rsidRPr="0068560E" w:rsidRDefault="005C1E17" w:rsidP="005C1E17">
      <w:pPr>
        <w:pStyle w:val="Teksttreci0"/>
        <w:shd w:val="clear" w:color="auto" w:fill="auto"/>
        <w:tabs>
          <w:tab w:val="left" w:pos="420"/>
        </w:tabs>
        <w:spacing w:line="271" w:lineRule="auto"/>
        <w:jc w:val="both"/>
        <w:rPr>
          <w:rFonts w:asciiTheme="minorHAnsi" w:hAnsiTheme="minorHAnsi" w:cstheme="minorHAnsi"/>
          <w:color w:val="000000"/>
          <w:lang w:eastAsia="pl-PL" w:bidi="pl-PL"/>
        </w:rPr>
      </w:pPr>
    </w:p>
    <w:p w14:paraId="7A5844C3" w14:textId="2752E8B3" w:rsidR="005C1E17" w:rsidRPr="0068560E" w:rsidRDefault="005C1E17" w:rsidP="005C1E17">
      <w:pPr>
        <w:pStyle w:val="Teksttreci0"/>
        <w:shd w:val="clear" w:color="auto" w:fill="auto"/>
        <w:tabs>
          <w:tab w:val="left" w:pos="420"/>
        </w:tabs>
        <w:spacing w:line="271" w:lineRule="auto"/>
        <w:jc w:val="both"/>
        <w:rPr>
          <w:rFonts w:asciiTheme="minorHAnsi" w:hAnsiTheme="minorHAnsi" w:cstheme="minorHAnsi"/>
          <w:color w:val="000000"/>
          <w:lang w:eastAsia="pl-PL" w:bidi="pl-PL"/>
        </w:rPr>
      </w:pPr>
    </w:p>
    <w:p w14:paraId="32B5D83F" w14:textId="0535ABBA" w:rsidR="005C1E17" w:rsidRPr="0068560E" w:rsidRDefault="005C1E17" w:rsidP="005C1E17">
      <w:pPr>
        <w:pStyle w:val="Teksttreci0"/>
        <w:shd w:val="clear" w:color="auto" w:fill="auto"/>
        <w:tabs>
          <w:tab w:val="left" w:pos="420"/>
        </w:tabs>
        <w:spacing w:line="271" w:lineRule="auto"/>
        <w:jc w:val="both"/>
        <w:rPr>
          <w:rFonts w:asciiTheme="minorHAnsi" w:hAnsiTheme="minorHAnsi" w:cstheme="minorHAnsi"/>
          <w:color w:val="000000"/>
          <w:lang w:eastAsia="pl-PL" w:bidi="pl-PL"/>
        </w:rPr>
      </w:pPr>
    </w:p>
    <w:p w14:paraId="7709B2F1" w14:textId="4A22C67B" w:rsidR="005C1E17" w:rsidRPr="0068560E" w:rsidRDefault="005C1E17" w:rsidP="005C1E17">
      <w:pPr>
        <w:pStyle w:val="Teksttreci0"/>
        <w:shd w:val="clear" w:color="auto" w:fill="auto"/>
        <w:tabs>
          <w:tab w:val="left" w:pos="420"/>
        </w:tabs>
        <w:spacing w:line="271" w:lineRule="auto"/>
        <w:jc w:val="both"/>
        <w:rPr>
          <w:rFonts w:asciiTheme="minorHAnsi" w:hAnsiTheme="minorHAnsi" w:cstheme="minorHAnsi"/>
          <w:color w:val="000000"/>
          <w:lang w:eastAsia="pl-PL" w:bidi="pl-PL"/>
        </w:rPr>
      </w:pPr>
    </w:p>
    <w:p w14:paraId="33252B22" w14:textId="33F49803" w:rsidR="005C1E17" w:rsidRPr="0068560E" w:rsidRDefault="005C1E17" w:rsidP="005C1E17">
      <w:pPr>
        <w:pStyle w:val="Teksttreci0"/>
        <w:shd w:val="clear" w:color="auto" w:fill="auto"/>
        <w:tabs>
          <w:tab w:val="left" w:pos="420"/>
        </w:tabs>
        <w:spacing w:line="271" w:lineRule="auto"/>
        <w:jc w:val="both"/>
        <w:rPr>
          <w:rFonts w:asciiTheme="minorHAnsi" w:hAnsiTheme="minorHAnsi" w:cstheme="minorHAnsi"/>
          <w:color w:val="000000"/>
          <w:lang w:eastAsia="pl-PL" w:bidi="pl-PL"/>
        </w:rPr>
      </w:pPr>
    </w:p>
    <w:p w14:paraId="49786AB4" w14:textId="77777777" w:rsidR="005C1E17" w:rsidRPr="0068560E" w:rsidRDefault="005C1E17" w:rsidP="005C1E17">
      <w:pPr>
        <w:pStyle w:val="Teksttreci0"/>
        <w:shd w:val="clear" w:color="auto" w:fill="auto"/>
        <w:tabs>
          <w:tab w:val="left" w:pos="420"/>
        </w:tabs>
        <w:spacing w:line="271" w:lineRule="auto"/>
        <w:jc w:val="both"/>
        <w:rPr>
          <w:rFonts w:asciiTheme="minorHAnsi" w:hAnsiTheme="minorHAnsi" w:cstheme="minorHAnsi"/>
        </w:rPr>
      </w:pPr>
    </w:p>
    <w:p w14:paraId="78F393DC" w14:textId="77777777" w:rsidR="005C1E17" w:rsidRPr="0068560E" w:rsidRDefault="005C1E17" w:rsidP="005C1E17">
      <w:pPr>
        <w:pStyle w:val="Teksttreci30"/>
        <w:pBdr>
          <w:top w:val="single" w:sz="4" w:space="0" w:color="auto"/>
        </w:pBdr>
        <w:shd w:val="clear" w:color="auto" w:fill="auto"/>
        <w:spacing w:after="960"/>
        <w:jc w:val="both"/>
        <w:rPr>
          <w:rFonts w:asciiTheme="minorHAnsi" w:hAnsiTheme="minorHAnsi" w:cstheme="minorHAnsi"/>
          <w:sz w:val="22"/>
          <w:szCs w:val="22"/>
        </w:rPr>
      </w:pPr>
      <w:r w:rsidRPr="0068560E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Podpis pożyczkodawcy</w:t>
      </w:r>
    </w:p>
    <w:p w14:paraId="337C61AC" w14:textId="1A2891BB" w:rsidR="005C1E17" w:rsidRDefault="005C1E17" w:rsidP="005C1E17">
      <w:pPr>
        <w:pStyle w:val="Teksttreci0"/>
        <w:shd w:val="clear" w:color="auto" w:fill="auto"/>
        <w:spacing w:after="960"/>
        <w:rPr>
          <w:rFonts w:asciiTheme="minorHAnsi" w:hAnsiTheme="minorHAnsi" w:cstheme="minorHAnsi"/>
          <w:color w:val="000000"/>
          <w:lang w:eastAsia="pl-PL" w:bidi="pl-PL"/>
        </w:rPr>
      </w:pPr>
      <w:r w:rsidRPr="0068560E">
        <w:rPr>
          <w:rFonts w:asciiTheme="minorHAnsi" w:hAnsiTheme="minorHAnsi" w:cstheme="minorHAnsi"/>
          <w:color w:val="000000"/>
          <w:lang w:eastAsia="pl-PL" w:bidi="pl-PL"/>
        </w:rPr>
        <w:t>Oświadczam, iż zapoznałem się z treścią niniejszego dokumentu:</w:t>
      </w:r>
    </w:p>
    <w:p w14:paraId="216B6763" w14:textId="77777777" w:rsidR="00A70CC5" w:rsidRPr="0068560E" w:rsidRDefault="00A70CC5" w:rsidP="005C1E17">
      <w:pPr>
        <w:pStyle w:val="Teksttreci0"/>
        <w:shd w:val="clear" w:color="auto" w:fill="auto"/>
        <w:spacing w:after="960"/>
        <w:rPr>
          <w:rFonts w:asciiTheme="minorHAnsi" w:hAnsiTheme="minorHAnsi" w:cstheme="minorHAnsi"/>
        </w:rPr>
      </w:pPr>
    </w:p>
    <w:p w14:paraId="3E078139" w14:textId="13CFC5A4" w:rsidR="005C1E17" w:rsidRPr="00247B20" w:rsidRDefault="00757BA4" w:rsidP="00247B20">
      <w:pPr>
        <w:pStyle w:val="Teksttreci30"/>
        <w:pBdr>
          <w:top w:val="single" w:sz="4" w:space="0" w:color="auto"/>
        </w:pBdr>
        <w:shd w:val="clear" w:color="auto" w:fill="auto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1C045105">
          <v:shapetype id="_x0000_t202" coordsize="21600,21600" o:spt="202" path="m,l,21600r21600,l21600,xe">
            <v:stroke joinstyle="miter"/>
            <v:path gradientshapeok="t" o:connecttype="rect"/>
          </v:shapetype>
          <v:shape id="Shape 67" o:spid="_x0000_s1030" type="#_x0000_t202" style="position:absolute;left:0;text-align:left;margin-left:442.35pt;margin-top:153.9pt;width:58.3pt;height:19.2pt;z-index:251667456;visibility:visible;mso-wrap-style:square;mso-wrap-distance-left:58.1pt;mso-wrap-distance-top:32.9pt;mso-wrap-distance-right:45.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" filled="f" stroked="f">
            <v:textbox style="mso-next-textbox:#Shape 67" inset="0,0,0,0">
              <w:txbxContent>
                <w:p w14:paraId="65EB7DFB" w14:textId="076A1BD9" w:rsidR="005C1E17" w:rsidRDefault="005C1E17" w:rsidP="005C1E17">
                  <w:pPr>
                    <w:pStyle w:val="Teksttreci20"/>
                    <w:shd w:val="clear" w:color="auto" w:fill="auto"/>
                    <w:ind w:left="0"/>
                  </w:pPr>
                </w:p>
              </w:txbxContent>
            </v:textbox>
            <w10:wrap type="square" side="left" anchorx="page"/>
          </v:shape>
        </w:pict>
      </w:r>
      <w:r w:rsidR="005C1E17" w:rsidRPr="0068560E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Podpis pożyczkobiorcy</w:t>
      </w:r>
    </w:p>
    <w:sectPr w:rsidR="005C1E17" w:rsidRPr="00247B20" w:rsidSect="00BD7F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6E1BA" w14:textId="77777777" w:rsidR="00D124CC" w:rsidRDefault="00D124CC" w:rsidP="00086645">
      <w:pPr>
        <w:spacing w:after="0" w:line="240" w:lineRule="auto"/>
      </w:pPr>
      <w:r>
        <w:separator/>
      </w:r>
    </w:p>
  </w:endnote>
  <w:endnote w:type="continuationSeparator" w:id="0">
    <w:p w14:paraId="1BCAA2C4" w14:textId="77777777" w:rsidR="00D124CC" w:rsidRDefault="00D124CC" w:rsidP="0008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E7B77" w14:textId="26AA82E7" w:rsidR="005264BD" w:rsidRDefault="00220194">
    <w:pPr>
      <w:pStyle w:val="Stopka"/>
    </w:pPr>
    <w:r>
      <w:rPr>
        <w:noProof/>
      </w:rPr>
      <w:drawing>
        <wp:inline distT="0" distB="0" distL="0" distR="0" wp14:anchorId="766C9D39" wp14:editId="68F520FB">
          <wp:extent cx="5760720" cy="569595"/>
          <wp:effectExtent l="0" t="0" r="0" b="0"/>
          <wp:docPr id="1" name="Obraz 1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489CF" w14:textId="77777777" w:rsidR="00D124CC" w:rsidRDefault="00D124CC" w:rsidP="00086645">
      <w:pPr>
        <w:spacing w:after="0" w:line="240" w:lineRule="auto"/>
      </w:pPr>
      <w:r>
        <w:separator/>
      </w:r>
    </w:p>
  </w:footnote>
  <w:footnote w:type="continuationSeparator" w:id="0">
    <w:p w14:paraId="3FC667F5" w14:textId="77777777" w:rsidR="00D124CC" w:rsidRDefault="00D124CC" w:rsidP="00086645">
      <w:pPr>
        <w:spacing w:after="0" w:line="240" w:lineRule="auto"/>
      </w:pPr>
      <w:r>
        <w:continuationSeparator/>
      </w:r>
    </w:p>
  </w:footnote>
  <w:footnote w:id="1">
    <w:p w14:paraId="0D5EFC5E" w14:textId="77777777" w:rsidR="005C1E17" w:rsidRDefault="005C1E17" w:rsidP="005C1E17">
      <w:pPr>
        <w:pStyle w:val="Stopka1"/>
        <w:shd w:val="clear" w:color="auto" w:fill="auto"/>
        <w:tabs>
          <w:tab w:val="left" w:pos="86"/>
        </w:tabs>
        <w:spacing w:after="0" w:line="233" w:lineRule="auto"/>
        <w:ind w:firstLine="0"/>
        <w:jc w:val="both"/>
      </w:pPr>
      <w:r>
        <w:rPr>
          <w:color w:val="000000"/>
          <w:sz w:val="10"/>
          <w:szCs w:val="10"/>
          <w:vertAlign w:val="superscript"/>
          <w:lang w:eastAsia="pl-PL" w:bidi="pl-PL"/>
        </w:rPr>
        <w:footnoteRef/>
      </w:r>
      <w:r>
        <w:rPr>
          <w:color w:val="000000"/>
          <w:sz w:val="10"/>
          <w:szCs w:val="10"/>
          <w:lang w:eastAsia="pl-PL" w:bidi="pl-PL"/>
        </w:rPr>
        <w:tab/>
      </w:r>
      <w:r>
        <w:rPr>
          <w:color w:val="000000"/>
          <w:lang w:eastAsia="pl-PL" w:bidi="pl-PL"/>
        </w:rPr>
        <w:t>Zgodnie ze Strategią rozwoju społeczno-gospodarczego województwa warmińsko-mazurskiego do roku 2025 z dnia 25 czerwca 2013 r.</w:t>
      </w:r>
    </w:p>
  </w:footnote>
  <w:footnote w:id="2">
    <w:p w14:paraId="36220CB2" w14:textId="3784D5A3" w:rsidR="005C1E17" w:rsidRPr="00022EC6" w:rsidRDefault="005C1E17" w:rsidP="00022EC6">
      <w:pPr>
        <w:pStyle w:val="Stopka1"/>
        <w:shd w:val="clear" w:color="auto" w:fill="auto"/>
        <w:tabs>
          <w:tab w:val="left" w:pos="125"/>
        </w:tabs>
        <w:spacing w:after="500" w:line="233" w:lineRule="auto"/>
        <w:ind w:firstLine="0"/>
        <w:jc w:val="both"/>
      </w:pPr>
      <w:r w:rsidRPr="00A70CC5">
        <w:rPr>
          <w:color w:val="000000"/>
          <w:vertAlign w:val="superscript"/>
          <w:lang w:eastAsia="pl-PL" w:bidi="pl-PL"/>
        </w:rPr>
        <w:footnoteRef/>
      </w:r>
      <w:r w:rsidRPr="00A70CC5">
        <w:rPr>
          <w:color w:val="000000"/>
          <w:lang w:eastAsia="pl-PL" w:bidi="pl-PL"/>
        </w:rPr>
        <w:tab/>
        <w:t>Analizy SWOT dla poszczególnych specjalizacji ujęte są w raportach z Badania potencjału innowacyjnego i rozwojowego przedsiębiorstw funkcjonujących w ramach inteligentnych specjalizacji województwa warmińsko-mazurskiego dostępnych na stronie</w:t>
      </w:r>
    </w:p>
  </w:footnote>
  <w:footnote w:id="3">
    <w:p w14:paraId="625307E8" w14:textId="77777777" w:rsidR="001B656E" w:rsidRDefault="005C1E17" w:rsidP="001601D5">
      <w:pPr>
        <w:pStyle w:val="Stopka1"/>
        <w:shd w:val="clear" w:color="auto" w:fill="auto"/>
        <w:tabs>
          <w:tab w:val="left" w:pos="931"/>
        </w:tabs>
        <w:spacing w:after="0"/>
        <w:ind w:firstLine="0"/>
        <w:rPr>
          <w:color w:val="000000"/>
          <w:lang w:eastAsia="pl-PL" w:bidi="pl-PL"/>
        </w:rPr>
      </w:pPr>
      <w:r w:rsidRPr="001601D5">
        <w:rPr>
          <w:color w:val="000000"/>
          <w:vertAlign w:val="superscript"/>
          <w:lang w:eastAsia="pl-PL" w:bidi="pl-PL"/>
        </w:rPr>
        <w:footnoteRef/>
      </w:r>
      <w:r w:rsidR="001B656E" w:rsidRPr="001B656E">
        <w:rPr>
          <w:color w:val="000000"/>
          <w:lang w:eastAsia="pl-PL" w:bidi="pl-PL"/>
        </w:rPr>
        <w:t xml:space="preserve">Aktualna wysokość stopy bazowej dla Polski publikowana jest na stronie Komisji </w:t>
      </w:r>
      <w:proofErr w:type="gramStart"/>
      <w:r w:rsidR="001B656E" w:rsidRPr="001B656E">
        <w:rPr>
          <w:color w:val="000000"/>
          <w:lang w:eastAsia="pl-PL" w:bidi="pl-PL"/>
        </w:rPr>
        <w:t>Europejskiej   (http</w:t>
      </w:r>
      <w:proofErr w:type="gramEnd"/>
      <w:r w:rsidR="001B656E" w:rsidRPr="001B656E">
        <w:rPr>
          <w:color w:val="000000"/>
          <w:lang w:eastAsia="pl-PL" w:bidi="pl-PL"/>
        </w:rPr>
        <w:t>://ec.</w:t>
      </w:r>
      <w:proofErr w:type="gramStart"/>
      <w:r w:rsidR="001B656E" w:rsidRPr="001B656E">
        <w:rPr>
          <w:color w:val="000000"/>
          <w:lang w:eastAsia="pl-PL" w:bidi="pl-PL"/>
        </w:rPr>
        <w:t>europa</w:t>
      </w:r>
      <w:proofErr w:type="gramEnd"/>
      <w:r w:rsidR="001B656E" w:rsidRPr="001B656E">
        <w:rPr>
          <w:color w:val="000000"/>
          <w:lang w:eastAsia="pl-PL" w:bidi="pl-PL"/>
        </w:rPr>
        <w:t>.</w:t>
      </w:r>
      <w:proofErr w:type="gramStart"/>
      <w:r w:rsidR="001B656E" w:rsidRPr="001B656E">
        <w:rPr>
          <w:color w:val="000000"/>
          <w:lang w:eastAsia="pl-PL" w:bidi="pl-PL"/>
        </w:rPr>
        <w:t>eu</w:t>
      </w:r>
      <w:proofErr w:type="gramEnd"/>
      <w:r w:rsidR="001B656E" w:rsidRPr="001B656E">
        <w:rPr>
          <w:color w:val="000000"/>
          <w:lang w:eastAsia="pl-PL" w:bidi="pl-PL"/>
        </w:rPr>
        <w:t>/competition/state_aid/legislation/reference_rates.</w:t>
      </w:r>
      <w:proofErr w:type="gramStart"/>
      <w:r w:rsidR="001B656E" w:rsidRPr="001B656E">
        <w:rPr>
          <w:color w:val="000000"/>
          <w:lang w:eastAsia="pl-PL" w:bidi="pl-PL"/>
        </w:rPr>
        <w:t>html</w:t>
      </w:r>
      <w:proofErr w:type="gramEnd"/>
      <w:r w:rsidR="001B656E" w:rsidRPr="001B656E">
        <w:rPr>
          <w:color w:val="000000"/>
          <w:lang w:eastAsia="pl-PL" w:bidi="pl-PL"/>
        </w:rPr>
        <w:t xml:space="preserve">) </w:t>
      </w:r>
    </w:p>
    <w:p w14:paraId="269FBF12" w14:textId="50C946F0" w:rsidR="005C1E17" w:rsidRPr="001601D5" w:rsidRDefault="001B656E" w:rsidP="001601D5">
      <w:pPr>
        <w:pStyle w:val="Stopka1"/>
        <w:shd w:val="clear" w:color="auto" w:fill="auto"/>
        <w:tabs>
          <w:tab w:val="left" w:pos="931"/>
        </w:tabs>
        <w:spacing w:after="0"/>
        <w:ind w:firstLine="0"/>
      </w:pPr>
      <w:r w:rsidRPr="001B656E">
        <w:rPr>
          <w:color w:val="000000"/>
          <w:lang w:eastAsia="pl-PL" w:bidi="pl-PL"/>
        </w:rPr>
        <w:t>oraz Urzędu Ochrony Konkurencji i Konsumentów (https</w:t>
      </w:r>
      <w:proofErr w:type="gramStart"/>
      <w:r w:rsidRPr="001B656E">
        <w:rPr>
          <w:color w:val="000000"/>
          <w:lang w:eastAsia="pl-PL" w:bidi="pl-PL"/>
        </w:rPr>
        <w:t>://www</w:t>
      </w:r>
      <w:proofErr w:type="gramEnd"/>
      <w:r w:rsidRPr="001B656E">
        <w:rPr>
          <w:color w:val="000000"/>
          <w:lang w:eastAsia="pl-PL" w:bidi="pl-PL"/>
        </w:rPr>
        <w:t>.</w:t>
      </w:r>
      <w:proofErr w:type="gramStart"/>
      <w:r w:rsidRPr="001B656E">
        <w:rPr>
          <w:color w:val="000000"/>
          <w:lang w:eastAsia="pl-PL" w:bidi="pl-PL"/>
        </w:rPr>
        <w:t>uokik</w:t>
      </w:r>
      <w:proofErr w:type="gramEnd"/>
      <w:r w:rsidRPr="001B656E">
        <w:rPr>
          <w:color w:val="000000"/>
          <w:lang w:eastAsia="pl-PL" w:bidi="pl-PL"/>
        </w:rPr>
        <w:t>.</w:t>
      </w:r>
      <w:proofErr w:type="gramStart"/>
      <w:r w:rsidRPr="001B656E">
        <w:rPr>
          <w:color w:val="000000"/>
          <w:lang w:eastAsia="pl-PL" w:bidi="pl-PL"/>
        </w:rPr>
        <w:t>gov</w:t>
      </w:r>
      <w:proofErr w:type="gramEnd"/>
      <w:r w:rsidRPr="001B656E">
        <w:rPr>
          <w:color w:val="000000"/>
          <w:lang w:eastAsia="pl-PL" w:bidi="pl-PL"/>
        </w:rPr>
        <w:t>.</w:t>
      </w:r>
      <w:proofErr w:type="gramStart"/>
      <w:r w:rsidRPr="001B656E">
        <w:rPr>
          <w:color w:val="000000"/>
          <w:lang w:eastAsia="pl-PL" w:bidi="pl-PL"/>
        </w:rPr>
        <w:t>pl</w:t>
      </w:r>
      <w:proofErr w:type="gramEnd"/>
      <w:r w:rsidRPr="001B656E">
        <w:rPr>
          <w:color w:val="000000"/>
          <w:lang w:eastAsia="pl-PL" w:bidi="pl-PL"/>
        </w:rPr>
        <w:t>/stopa_referencyjna_i_archiwum.</w:t>
      </w:r>
      <w:proofErr w:type="gramStart"/>
      <w:r w:rsidRPr="001B656E">
        <w:rPr>
          <w:color w:val="000000"/>
          <w:lang w:eastAsia="pl-PL" w:bidi="pl-PL"/>
        </w:rPr>
        <w:t>php</w:t>
      </w:r>
      <w:proofErr w:type="gramEnd"/>
      <w:r w:rsidRPr="001B656E">
        <w:rPr>
          <w:color w:val="000000"/>
          <w:lang w:eastAsia="pl-PL" w:bidi="pl-PL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75DC" w14:textId="7D92C714" w:rsidR="00086645" w:rsidRDefault="00220194">
    <w:pPr>
      <w:pStyle w:val="Nagwek"/>
    </w:pPr>
    <w:r>
      <w:rPr>
        <w:noProof/>
      </w:rPr>
      <w:drawing>
        <wp:inline distT="0" distB="0" distL="0" distR="0" wp14:anchorId="02EC3E09" wp14:editId="1AA68411">
          <wp:extent cx="5760720" cy="579120"/>
          <wp:effectExtent l="0" t="0" r="0" b="0"/>
          <wp:docPr id="2" name="Obraz 2" descr="C:\Users\Grzegorz\Downloads\góra_kolo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ownloads\góra_kolor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850"/>
    <w:multiLevelType w:val="hybridMultilevel"/>
    <w:tmpl w:val="F72AB3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6125FA"/>
    <w:multiLevelType w:val="multilevel"/>
    <w:tmpl w:val="63146E5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10C44"/>
    <w:multiLevelType w:val="hybridMultilevel"/>
    <w:tmpl w:val="5BD429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E70A6"/>
    <w:multiLevelType w:val="hybridMultilevel"/>
    <w:tmpl w:val="C36A4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12F4B"/>
    <w:multiLevelType w:val="hybridMultilevel"/>
    <w:tmpl w:val="08829F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3F0A53"/>
    <w:multiLevelType w:val="hybridMultilevel"/>
    <w:tmpl w:val="7BFC10B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E70BBA"/>
    <w:multiLevelType w:val="multilevel"/>
    <w:tmpl w:val="40402AF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420479"/>
    <w:multiLevelType w:val="multilevel"/>
    <w:tmpl w:val="78388D1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C917CB"/>
    <w:multiLevelType w:val="multilevel"/>
    <w:tmpl w:val="EA94ADCC"/>
    <w:lvl w:ilvl="0">
      <w:start w:val="3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620076D5"/>
    <w:multiLevelType w:val="hybridMultilevel"/>
    <w:tmpl w:val="441419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D17A0D"/>
    <w:multiLevelType w:val="hybridMultilevel"/>
    <w:tmpl w:val="33E4FC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C039AC"/>
    <w:multiLevelType w:val="multilevel"/>
    <w:tmpl w:val="D9CC282C"/>
    <w:lvl w:ilvl="0">
      <w:start w:val="2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A5104D2"/>
    <w:multiLevelType w:val="multilevel"/>
    <w:tmpl w:val="591297C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A810FE"/>
    <w:multiLevelType w:val="multilevel"/>
    <w:tmpl w:val="E264D0AE"/>
    <w:lvl w:ilvl="0">
      <w:start w:val="3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7DC96714"/>
    <w:multiLevelType w:val="hybridMultilevel"/>
    <w:tmpl w:val="D3EA4F68"/>
    <w:lvl w:ilvl="0" w:tplc="D13ED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7"/>
  </w:num>
  <w:num w:numId="5">
    <w:abstractNumId w:val="12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9"/>
  </w:num>
  <w:num w:numId="13">
    <w:abstractNumId w:val="10"/>
  </w:num>
  <w:num w:numId="14">
    <w:abstractNumId w:val="4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949"/>
    <w:rsid w:val="00006100"/>
    <w:rsid w:val="00011D4F"/>
    <w:rsid w:val="00022EC6"/>
    <w:rsid w:val="0004748E"/>
    <w:rsid w:val="00050D91"/>
    <w:rsid w:val="00057350"/>
    <w:rsid w:val="0006638F"/>
    <w:rsid w:val="00076399"/>
    <w:rsid w:val="00086645"/>
    <w:rsid w:val="000A4B6A"/>
    <w:rsid w:val="000A659B"/>
    <w:rsid w:val="000B64C3"/>
    <w:rsid w:val="000C51EE"/>
    <w:rsid w:val="000E1456"/>
    <w:rsid w:val="000E3925"/>
    <w:rsid w:val="000F16D5"/>
    <w:rsid w:val="000F1F39"/>
    <w:rsid w:val="00101CD3"/>
    <w:rsid w:val="00105509"/>
    <w:rsid w:val="0010756F"/>
    <w:rsid w:val="00107AC8"/>
    <w:rsid w:val="001601D5"/>
    <w:rsid w:val="00161224"/>
    <w:rsid w:val="001661D8"/>
    <w:rsid w:val="001B392A"/>
    <w:rsid w:val="001B656E"/>
    <w:rsid w:val="001C283C"/>
    <w:rsid w:val="001E1CFC"/>
    <w:rsid w:val="001F1E46"/>
    <w:rsid w:val="00217B5A"/>
    <w:rsid w:val="00220194"/>
    <w:rsid w:val="00232A35"/>
    <w:rsid w:val="00247B20"/>
    <w:rsid w:val="0025368B"/>
    <w:rsid w:val="00270289"/>
    <w:rsid w:val="002703CE"/>
    <w:rsid w:val="00281851"/>
    <w:rsid w:val="002840CB"/>
    <w:rsid w:val="0028624F"/>
    <w:rsid w:val="002A4813"/>
    <w:rsid w:val="002B6361"/>
    <w:rsid w:val="002C715C"/>
    <w:rsid w:val="002D6D98"/>
    <w:rsid w:val="002F0335"/>
    <w:rsid w:val="002F1BC6"/>
    <w:rsid w:val="003463A2"/>
    <w:rsid w:val="003B74D0"/>
    <w:rsid w:val="003C7ED2"/>
    <w:rsid w:val="003F7470"/>
    <w:rsid w:val="00415191"/>
    <w:rsid w:val="00427C6F"/>
    <w:rsid w:val="00461EDF"/>
    <w:rsid w:val="00471992"/>
    <w:rsid w:val="004909C9"/>
    <w:rsid w:val="004B41A9"/>
    <w:rsid w:val="004C6B3E"/>
    <w:rsid w:val="004D7A5E"/>
    <w:rsid w:val="004E6F9D"/>
    <w:rsid w:val="004E7DB4"/>
    <w:rsid w:val="004F12B5"/>
    <w:rsid w:val="004F27F6"/>
    <w:rsid w:val="005264BD"/>
    <w:rsid w:val="005348F9"/>
    <w:rsid w:val="0054269E"/>
    <w:rsid w:val="005454C2"/>
    <w:rsid w:val="005607CA"/>
    <w:rsid w:val="0056117F"/>
    <w:rsid w:val="00570BA8"/>
    <w:rsid w:val="00575FB7"/>
    <w:rsid w:val="0059267F"/>
    <w:rsid w:val="005A40F0"/>
    <w:rsid w:val="005C1E17"/>
    <w:rsid w:val="005C2D49"/>
    <w:rsid w:val="005E41A4"/>
    <w:rsid w:val="005F248A"/>
    <w:rsid w:val="0060259B"/>
    <w:rsid w:val="0060309B"/>
    <w:rsid w:val="006477CA"/>
    <w:rsid w:val="00647BE0"/>
    <w:rsid w:val="00671F2D"/>
    <w:rsid w:val="0068560E"/>
    <w:rsid w:val="006861FA"/>
    <w:rsid w:val="00691FBC"/>
    <w:rsid w:val="006C035D"/>
    <w:rsid w:val="006C6CA9"/>
    <w:rsid w:val="00706389"/>
    <w:rsid w:val="00717378"/>
    <w:rsid w:val="00721348"/>
    <w:rsid w:val="0074017E"/>
    <w:rsid w:val="00757BA4"/>
    <w:rsid w:val="00767150"/>
    <w:rsid w:val="0078417D"/>
    <w:rsid w:val="00794C4D"/>
    <w:rsid w:val="0079501E"/>
    <w:rsid w:val="00797802"/>
    <w:rsid w:val="007B09E7"/>
    <w:rsid w:val="007B6949"/>
    <w:rsid w:val="007C03F9"/>
    <w:rsid w:val="007C485A"/>
    <w:rsid w:val="007D4609"/>
    <w:rsid w:val="007F469F"/>
    <w:rsid w:val="0080739F"/>
    <w:rsid w:val="008261FE"/>
    <w:rsid w:val="00844844"/>
    <w:rsid w:val="00845BAB"/>
    <w:rsid w:val="008514A4"/>
    <w:rsid w:val="00863E73"/>
    <w:rsid w:val="00870182"/>
    <w:rsid w:val="00874F75"/>
    <w:rsid w:val="00884B83"/>
    <w:rsid w:val="008B44A3"/>
    <w:rsid w:val="008D7C07"/>
    <w:rsid w:val="008F18C5"/>
    <w:rsid w:val="00927697"/>
    <w:rsid w:val="00943E78"/>
    <w:rsid w:val="009668EC"/>
    <w:rsid w:val="009676EC"/>
    <w:rsid w:val="00970D06"/>
    <w:rsid w:val="009924F2"/>
    <w:rsid w:val="009A12B7"/>
    <w:rsid w:val="009A3483"/>
    <w:rsid w:val="009C2287"/>
    <w:rsid w:val="009C3C9D"/>
    <w:rsid w:val="009E6347"/>
    <w:rsid w:val="00A11DEA"/>
    <w:rsid w:val="00A21B44"/>
    <w:rsid w:val="00A231FA"/>
    <w:rsid w:val="00A531DA"/>
    <w:rsid w:val="00A60972"/>
    <w:rsid w:val="00A65E04"/>
    <w:rsid w:val="00A70CC5"/>
    <w:rsid w:val="00A713EA"/>
    <w:rsid w:val="00A8690D"/>
    <w:rsid w:val="00AE054D"/>
    <w:rsid w:val="00AE358C"/>
    <w:rsid w:val="00AF1C84"/>
    <w:rsid w:val="00B13D74"/>
    <w:rsid w:val="00B347CE"/>
    <w:rsid w:val="00B413A5"/>
    <w:rsid w:val="00B51F75"/>
    <w:rsid w:val="00B60470"/>
    <w:rsid w:val="00B7105C"/>
    <w:rsid w:val="00B90603"/>
    <w:rsid w:val="00BA6E20"/>
    <w:rsid w:val="00BB35CF"/>
    <w:rsid w:val="00BB6207"/>
    <w:rsid w:val="00BC4A3E"/>
    <w:rsid w:val="00BD58ED"/>
    <w:rsid w:val="00BD7F69"/>
    <w:rsid w:val="00C021FB"/>
    <w:rsid w:val="00C115E9"/>
    <w:rsid w:val="00C86B4E"/>
    <w:rsid w:val="00C97491"/>
    <w:rsid w:val="00CA4716"/>
    <w:rsid w:val="00CA647F"/>
    <w:rsid w:val="00CB5E44"/>
    <w:rsid w:val="00CE2A5B"/>
    <w:rsid w:val="00D04F0B"/>
    <w:rsid w:val="00D124CC"/>
    <w:rsid w:val="00D3224B"/>
    <w:rsid w:val="00D330E4"/>
    <w:rsid w:val="00D675E4"/>
    <w:rsid w:val="00D73D35"/>
    <w:rsid w:val="00D73FC8"/>
    <w:rsid w:val="00D76016"/>
    <w:rsid w:val="00D819D8"/>
    <w:rsid w:val="00D82236"/>
    <w:rsid w:val="00D933C8"/>
    <w:rsid w:val="00DB56B2"/>
    <w:rsid w:val="00DE7EC4"/>
    <w:rsid w:val="00E22B32"/>
    <w:rsid w:val="00E31B60"/>
    <w:rsid w:val="00E423A9"/>
    <w:rsid w:val="00E80AA2"/>
    <w:rsid w:val="00E83E55"/>
    <w:rsid w:val="00EA4AC0"/>
    <w:rsid w:val="00EC39E8"/>
    <w:rsid w:val="00EE33FA"/>
    <w:rsid w:val="00EE7E3A"/>
    <w:rsid w:val="00F069D1"/>
    <w:rsid w:val="00F17E39"/>
    <w:rsid w:val="00F307BF"/>
    <w:rsid w:val="00F31D5B"/>
    <w:rsid w:val="00F37B8D"/>
    <w:rsid w:val="00F455D4"/>
    <w:rsid w:val="00F60F99"/>
    <w:rsid w:val="00F6240F"/>
    <w:rsid w:val="00F65AB9"/>
    <w:rsid w:val="00FA17BE"/>
    <w:rsid w:val="00FB5957"/>
    <w:rsid w:val="00FE510E"/>
    <w:rsid w:val="00FF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95A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E20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9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45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45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645"/>
    <w:rPr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510E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510E"/>
    <w:rPr>
      <w:rFonts w:ascii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510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48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483"/>
    <w:rPr>
      <w:rFonts w:ascii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483"/>
    <w:rPr>
      <w:rFonts w:ascii="Times New Roman" w:hAnsi="Times New Roman" w:cs="Times New Roman"/>
      <w:b/>
      <w:bCs/>
      <w:lang w:eastAsia="pl-PL"/>
    </w:rPr>
  </w:style>
  <w:style w:type="character" w:customStyle="1" w:styleId="Teksttreci">
    <w:name w:val="Tekst treści_"/>
    <w:basedOn w:val="Domylnaczcionkaakapitu"/>
    <w:link w:val="Teksttreci0"/>
    <w:rsid w:val="005C1E17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1E17"/>
    <w:pPr>
      <w:widowControl w:val="0"/>
      <w:shd w:val="clear" w:color="auto" w:fill="FFFFFF"/>
      <w:spacing w:after="12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0">
    <w:name w:val="Stopka_"/>
    <w:basedOn w:val="Domylnaczcionkaakapitu"/>
    <w:link w:val="Stopka1"/>
    <w:rsid w:val="005C1E1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5C1E17"/>
    <w:pPr>
      <w:widowControl w:val="0"/>
      <w:shd w:val="clear" w:color="auto" w:fill="FFFFFF"/>
      <w:spacing w:after="50" w:line="240" w:lineRule="auto"/>
      <w:ind w:firstLine="70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Podpisobrazu">
    <w:name w:val="Podpis obrazu_"/>
    <w:basedOn w:val="Domylnaczcionkaakapitu"/>
    <w:link w:val="Podpisobrazu0"/>
    <w:rsid w:val="005C1E17"/>
    <w:rPr>
      <w:rFonts w:ascii="Arial" w:eastAsia="Arial" w:hAnsi="Arial" w:cs="Arial"/>
      <w:color w:val="474746"/>
      <w:sz w:val="12"/>
      <w:szCs w:val="12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5C1E17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5C1E17"/>
    <w:rPr>
      <w:rFonts w:ascii="Arial" w:eastAsia="Arial" w:hAnsi="Arial" w:cs="Arial"/>
      <w:color w:val="474746"/>
      <w:sz w:val="12"/>
      <w:szCs w:val="1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5C1E17"/>
    <w:rPr>
      <w:rFonts w:ascii="Arial" w:eastAsia="Arial" w:hAnsi="Arial" w:cs="Arial"/>
      <w:b/>
      <w:bCs/>
      <w:color w:val="717171"/>
      <w:sz w:val="8"/>
      <w:szCs w:val="8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C1E1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5C1E17"/>
    <w:pPr>
      <w:widowControl w:val="0"/>
      <w:shd w:val="clear" w:color="auto" w:fill="FFFFFF"/>
      <w:spacing w:after="0" w:line="226" w:lineRule="auto"/>
    </w:pPr>
    <w:rPr>
      <w:rFonts w:ascii="Arial" w:eastAsia="Arial" w:hAnsi="Arial" w:cs="Arial"/>
      <w:color w:val="474746"/>
      <w:sz w:val="12"/>
      <w:szCs w:val="12"/>
      <w:lang w:eastAsia="en-US"/>
    </w:rPr>
  </w:style>
  <w:style w:type="paragraph" w:customStyle="1" w:styleId="Nagwek20">
    <w:name w:val="Nagłówek #2"/>
    <w:basedOn w:val="Normalny"/>
    <w:link w:val="Nagwek2"/>
    <w:rsid w:val="005C1E17"/>
    <w:pPr>
      <w:widowControl w:val="0"/>
      <w:shd w:val="clear" w:color="auto" w:fill="FFFFFF"/>
      <w:spacing w:after="130" w:line="240" w:lineRule="auto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eksttreci50">
    <w:name w:val="Tekst treści (5)"/>
    <w:basedOn w:val="Normalny"/>
    <w:link w:val="Teksttreci5"/>
    <w:rsid w:val="005C1E1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474746"/>
      <w:sz w:val="12"/>
      <w:szCs w:val="12"/>
      <w:lang w:eastAsia="en-US"/>
    </w:rPr>
  </w:style>
  <w:style w:type="paragraph" w:customStyle="1" w:styleId="Teksttreci20">
    <w:name w:val="Tekst treści (2)"/>
    <w:basedOn w:val="Normalny"/>
    <w:link w:val="Teksttreci2"/>
    <w:rsid w:val="005C1E17"/>
    <w:pPr>
      <w:widowControl w:val="0"/>
      <w:shd w:val="clear" w:color="auto" w:fill="FFFFFF"/>
      <w:spacing w:after="0" w:line="240" w:lineRule="auto"/>
      <w:ind w:left="550"/>
    </w:pPr>
    <w:rPr>
      <w:rFonts w:ascii="Arial" w:eastAsia="Arial" w:hAnsi="Arial" w:cs="Arial"/>
      <w:b/>
      <w:bCs/>
      <w:color w:val="717171"/>
      <w:sz w:val="8"/>
      <w:szCs w:val="8"/>
      <w:lang w:eastAsia="en-US"/>
    </w:rPr>
  </w:style>
  <w:style w:type="paragraph" w:customStyle="1" w:styleId="Teksttreci30">
    <w:name w:val="Tekst treści (3)"/>
    <w:basedOn w:val="Normalny"/>
    <w:link w:val="Teksttreci3"/>
    <w:rsid w:val="005C1E17"/>
    <w:pPr>
      <w:widowControl w:val="0"/>
      <w:shd w:val="clear" w:color="auto" w:fill="FFFFFF"/>
      <w:spacing w:after="60" w:line="240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07639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63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gov.pl/stopa%20referencyjna%20i%20archiwum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.europa.eu/competition/state%20aid/legislation/reference%20rates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EC32-A8E5-4FD3-BD98-EAEB5B13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1687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Marcinkowska</dc:creator>
  <cp:lastModifiedBy>Joanna Borowska</cp:lastModifiedBy>
  <cp:revision>100</cp:revision>
  <cp:lastPrinted>2020-04-20T10:53:00Z</cp:lastPrinted>
  <dcterms:created xsi:type="dcterms:W3CDTF">2018-02-16T12:27:00Z</dcterms:created>
  <dcterms:modified xsi:type="dcterms:W3CDTF">2021-03-22T11:55:00Z</dcterms:modified>
</cp:coreProperties>
</file>