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E313C" w14:textId="77777777" w:rsidR="004D273C" w:rsidRDefault="00E30240" w:rsidP="004D273C">
      <w:pPr>
        <w:jc w:val="right"/>
      </w:pPr>
      <w:bookmarkStart w:id="0" w:name="_GoBack"/>
      <w:bookmarkEnd w:id="0"/>
      <w:r w:rsidRPr="00E30240">
        <w:t xml:space="preserve">Załącznik nr 2 do Regulaminu </w:t>
      </w:r>
      <w:proofErr w:type="spellStart"/>
      <w:r w:rsidRPr="00E30240">
        <w:t>PIzP</w:t>
      </w:r>
      <w:proofErr w:type="spellEnd"/>
      <w:r w:rsidR="008E4731">
        <w:t xml:space="preserve"> I</w:t>
      </w:r>
    </w:p>
    <w:p w14:paraId="0D23A7B6" w14:textId="77777777" w:rsidR="007151BA" w:rsidRDefault="00E30240" w:rsidP="006005F4">
      <w:pPr>
        <w:jc w:val="center"/>
      </w:pPr>
      <w:r w:rsidRPr="00E30240">
        <w:t>KRYTERIA OCENY WNIOSKU O POŻYCZKĘ ZGODNIE ZE STRATEGIĄ ROZWOJU SPOŁECZNO-GOSPODARCZEGO WOJEWÓDZTWA WARMIŃSKO-MAZURSKIEGO DO ROKU 2025 Z DNIA 25 CZERWCA 2013 R.</w:t>
      </w:r>
    </w:p>
    <w:tbl>
      <w:tblPr>
        <w:tblStyle w:val="Tabela-Siatka"/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583"/>
        <w:gridCol w:w="542"/>
        <w:gridCol w:w="917"/>
        <w:gridCol w:w="1925"/>
      </w:tblGrid>
      <w:tr w:rsidR="001A52B2" w14:paraId="0D145293" w14:textId="77777777" w:rsidTr="007877C4">
        <w:trPr>
          <w:trHeight w:val="206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2BE5AD96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L.p.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5411D60" w14:textId="77777777" w:rsidR="001A52B2" w:rsidRPr="001A52B2" w:rsidRDefault="001A52B2" w:rsidP="001A52B2">
            <w:pPr>
              <w:rPr>
                <w:b/>
              </w:rPr>
            </w:pPr>
            <w:r w:rsidRPr="001A52B2">
              <w:rPr>
                <w:b/>
              </w:rPr>
              <w:t>Nazwa kryterium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14:paraId="4E10A319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Uszczegółowienie nazwy kryterium</w:t>
            </w:r>
          </w:p>
        </w:tc>
        <w:tc>
          <w:tcPr>
            <w:tcW w:w="2042" w:type="dxa"/>
            <w:gridSpan w:val="3"/>
            <w:shd w:val="clear" w:color="auto" w:fill="D9D9D9" w:themeFill="background1" w:themeFillShade="D9"/>
            <w:vAlign w:val="center"/>
          </w:tcPr>
          <w:p w14:paraId="6F4DCAE6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Ocena</w:t>
            </w:r>
          </w:p>
        </w:tc>
        <w:tc>
          <w:tcPr>
            <w:tcW w:w="1925" w:type="dxa"/>
            <w:vMerge w:val="restart"/>
            <w:shd w:val="clear" w:color="auto" w:fill="D9D9D9" w:themeFill="background1" w:themeFillShade="D9"/>
            <w:vAlign w:val="center"/>
          </w:tcPr>
          <w:p w14:paraId="166DCB13" w14:textId="77777777" w:rsidR="001A52B2" w:rsidRPr="001A52B2" w:rsidRDefault="001A52B2" w:rsidP="001A52B2">
            <w:pPr>
              <w:jc w:val="center"/>
              <w:rPr>
                <w:b/>
              </w:rPr>
            </w:pPr>
            <w:r w:rsidRPr="001A52B2">
              <w:rPr>
                <w:b/>
              </w:rPr>
              <w:t>Uwagi</w:t>
            </w:r>
          </w:p>
        </w:tc>
      </w:tr>
      <w:tr w:rsidR="001A52B2" w14:paraId="5DF73105" w14:textId="77777777" w:rsidTr="007877C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5FB08D7E" w14:textId="77777777" w:rsidR="001A52B2" w:rsidRPr="001A52B2" w:rsidRDefault="001A52B2" w:rsidP="00965F2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13310E8A" w14:textId="77777777" w:rsidR="001A52B2" w:rsidRPr="001A52B2" w:rsidRDefault="001A52B2" w:rsidP="001A52B2">
            <w:pPr>
              <w:rPr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14:paraId="5C078FF5" w14:textId="77777777" w:rsidR="001A52B2" w:rsidRPr="001A52B2" w:rsidRDefault="001A52B2" w:rsidP="00965F28">
            <w:pPr>
              <w:jc w:val="center"/>
              <w:rPr>
                <w:b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92AA351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Tak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63C810D2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Nie</w:t>
            </w: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0D3A438D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Nie dotyczy</w:t>
            </w:r>
          </w:p>
        </w:tc>
        <w:tc>
          <w:tcPr>
            <w:tcW w:w="1925" w:type="dxa"/>
            <w:vMerge/>
            <w:vAlign w:val="center"/>
          </w:tcPr>
          <w:p w14:paraId="0F3E23FC" w14:textId="77777777" w:rsidR="001A52B2" w:rsidRPr="001A52B2" w:rsidRDefault="001A52B2" w:rsidP="001A52B2">
            <w:pPr>
              <w:jc w:val="center"/>
              <w:rPr>
                <w:b/>
              </w:rPr>
            </w:pPr>
          </w:p>
        </w:tc>
      </w:tr>
      <w:tr w:rsidR="00EF54EA" w14:paraId="02D459E8" w14:textId="77777777" w:rsidTr="00EF54EA">
        <w:trPr>
          <w:trHeight w:val="567"/>
          <w:jc w:val="center"/>
        </w:trPr>
        <w:tc>
          <w:tcPr>
            <w:tcW w:w="10483" w:type="dxa"/>
            <w:gridSpan w:val="7"/>
            <w:shd w:val="clear" w:color="auto" w:fill="D9D9D9" w:themeFill="background1" w:themeFillShade="D9"/>
            <w:vAlign w:val="center"/>
          </w:tcPr>
          <w:p w14:paraId="6F2068AD" w14:textId="77777777" w:rsidR="00EF54EA" w:rsidRPr="006005F4" w:rsidRDefault="00EF54EA" w:rsidP="006005F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005F4">
              <w:rPr>
                <w:b/>
              </w:rPr>
              <w:t>Kryteria formalne dopuszczające do finansowania</w:t>
            </w:r>
          </w:p>
          <w:p w14:paraId="495CA936" w14:textId="77777777" w:rsidR="006005F4" w:rsidRPr="006005F4" w:rsidRDefault="006005F4" w:rsidP="006005F4">
            <w:pPr>
              <w:pStyle w:val="Akapitzlist"/>
              <w:ind w:left="1080"/>
              <w:rPr>
                <w:b/>
              </w:rPr>
            </w:pPr>
          </w:p>
        </w:tc>
      </w:tr>
      <w:tr w:rsidR="00EF54EA" w14:paraId="52293A5A" w14:textId="77777777" w:rsidTr="007877C4">
        <w:trPr>
          <w:trHeight w:val="567"/>
          <w:jc w:val="center"/>
        </w:trPr>
        <w:tc>
          <w:tcPr>
            <w:tcW w:w="562" w:type="dxa"/>
            <w:vAlign w:val="center"/>
          </w:tcPr>
          <w:p w14:paraId="2789D23B" w14:textId="77777777" w:rsidR="00EF54EA" w:rsidRDefault="00EF54EA" w:rsidP="00965F28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6D52D6B5" w14:textId="77777777" w:rsidR="00EF54EA" w:rsidRDefault="0055265E" w:rsidP="0055265E">
            <w:r w:rsidRPr="0055265E">
              <w:t>Kompletność wniosku</w:t>
            </w:r>
          </w:p>
        </w:tc>
        <w:tc>
          <w:tcPr>
            <w:tcW w:w="4111" w:type="dxa"/>
            <w:vAlign w:val="center"/>
          </w:tcPr>
          <w:p w14:paraId="1E03D438" w14:textId="77777777" w:rsidR="00EF54EA" w:rsidRPr="006005F4" w:rsidRDefault="0055265E" w:rsidP="0055265E">
            <w:r w:rsidRPr="006005F4">
              <w:t>Informacja o kompletności złożonego wniosku tj. zgodność złożonego wniosku z wykazem wymaganych dokumentów do Wniosku o pożyczkę</w:t>
            </w:r>
          </w:p>
        </w:tc>
        <w:tc>
          <w:tcPr>
            <w:tcW w:w="583" w:type="dxa"/>
            <w:vAlign w:val="center"/>
          </w:tcPr>
          <w:p w14:paraId="13F12291" w14:textId="77777777" w:rsidR="00EF54EA" w:rsidRDefault="00EF54EA" w:rsidP="00965F28">
            <w:pPr>
              <w:jc w:val="center"/>
            </w:pPr>
          </w:p>
        </w:tc>
        <w:tc>
          <w:tcPr>
            <w:tcW w:w="542" w:type="dxa"/>
            <w:vAlign w:val="center"/>
          </w:tcPr>
          <w:p w14:paraId="24C7CD53" w14:textId="77777777" w:rsidR="00EF54EA" w:rsidRDefault="00EF54EA" w:rsidP="00965F28">
            <w:pPr>
              <w:jc w:val="center"/>
            </w:pPr>
          </w:p>
        </w:tc>
        <w:tc>
          <w:tcPr>
            <w:tcW w:w="917" w:type="dxa"/>
            <w:vAlign w:val="center"/>
          </w:tcPr>
          <w:p w14:paraId="201CA8EB" w14:textId="77777777" w:rsidR="00EF54EA" w:rsidRDefault="00EF54EA" w:rsidP="00965F28">
            <w:pPr>
              <w:jc w:val="center"/>
            </w:pPr>
          </w:p>
        </w:tc>
        <w:tc>
          <w:tcPr>
            <w:tcW w:w="1925" w:type="dxa"/>
            <w:vAlign w:val="center"/>
          </w:tcPr>
          <w:p w14:paraId="068908F4" w14:textId="77777777" w:rsidR="00EF54EA" w:rsidRDefault="00EF54EA" w:rsidP="00965F28">
            <w:pPr>
              <w:jc w:val="center"/>
            </w:pPr>
          </w:p>
        </w:tc>
      </w:tr>
      <w:tr w:rsidR="0055265E" w14:paraId="64896F43" w14:textId="77777777" w:rsidTr="007877C4">
        <w:trPr>
          <w:trHeight w:val="567"/>
          <w:jc w:val="center"/>
        </w:trPr>
        <w:tc>
          <w:tcPr>
            <w:tcW w:w="562" w:type="dxa"/>
            <w:vAlign w:val="center"/>
          </w:tcPr>
          <w:p w14:paraId="12B07400" w14:textId="77777777" w:rsidR="0055265E" w:rsidRDefault="0055265E" w:rsidP="00965F28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165EEDA8" w14:textId="77777777" w:rsidR="0055265E" w:rsidRPr="0055265E" w:rsidRDefault="0055265E" w:rsidP="0055265E">
            <w:r w:rsidRPr="0055265E">
              <w:t>Kompletność załączników</w:t>
            </w:r>
          </w:p>
        </w:tc>
        <w:tc>
          <w:tcPr>
            <w:tcW w:w="4111" w:type="dxa"/>
            <w:vAlign w:val="center"/>
          </w:tcPr>
          <w:p w14:paraId="52D00EB6" w14:textId="77777777" w:rsidR="0055265E" w:rsidRPr="0055265E" w:rsidRDefault="0055265E" w:rsidP="00DF1AA4">
            <w:r w:rsidRPr="0055265E">
              <w:t>Do wniosku o pożyczkę należy załączyć wszystkie niezbędne załączniki będące integralną częścią wniosku o pożyczkę tj.:</w:t>
            </w:r>
            <w:r>
              <w:br/>
            </w:r>
            <w:r w:rsidRPr="0055265E">
              <w:t>Załącznik nr 1 Biznesplan/plan przedsięwzięcia,</w:t>
            </w:r>
            <w:r>
              <w:br/>
            </w:r>
            <w:r w:rsidRPr="0055265E">
              <w:t>Załącznik nr 2 Oświadczenie Ostatecznego Odbiorcy będącego osobą fizyczną,</w:t>
            </w:r>
            <w:r>
              <w:br/>
            </w:r>
            <w:r w:rsidRPr="0055265E">
              <w:t>Załącznik nr 3 Oświadczenie Ostatecznego Odbi</w:t>
            </w:r>
            <w:r>
              <w:t>orcy niebędącego osobą fizyczną,</w:t>
            </w:r>
            <w:r>
              <w:br/>
            </w:r>
            <w:r w:rsidRPr="0055265E">
              <w:t>Załącznik nr 4 Oświadczenie Poręczyciel</w:t>
            </w:r>
            <w:r>
              <w:t xml:space="preserve">a i </w:t>
            </w:r>
            <w:r w:rsidR="00DF1AA4">
              <w:t>Małżonka</w:t>
            </w:r>
            <w:r>
              <w:t xml:space="preserve"> Poręczyciela</w:t>
            </w:r>
            <w:r>
              <w:br/>
            </w:r>
            <w:r w:rsidRPr="0055265E">
              <w:t>Załącznik nr 5 Wniosek o udzielenie preferencji/premii w postaci subsydiowania odsetek</w:t>
            </w:r>
            <w:r>
              <w:br/>
              <w:t>(</w:t>
            </w:r>
            <w:r w:rsidRPr="0055265E">
              <w:t>załączniki dostępne są na stronie internetowej Pośrednika Finansowego)</w:t>
            </w:r>
          </w:p>
        </w:tc>
        <w:tc>
          <w:tcPr>
            <w:tcW w:w="583" w:type="dxa"/>
            <w:vAlign w:val="center"/>
          </w:tcPr>
          <w:p w14:paraId="12D13D4D" w14:textId="77777777" w:rsidR="0055265E" w:rsidRDefault="0055265E" w:rsidP="00965F28">
            <w:pPr>
              <w:jc w:val="center"/>
            </w:pPr>
          </w:p>
        </w:tc>
        <w:tc>
          <w:tcPr>
            <w:tcW w:w="542" w:type="dxa"/>
            <w:vAlign w:val="center"/>
          </w:tcPr>
          <w:p w14:paraId="00297D02" w14:textId="77777777" w:rsidR="0055265E" w:rsidRDefault="0055265E" w:rsidP="00965F28">
            <w:pPr>
              <w:jc w:val="center"/>
            </w:pPr>
          </w:p>
        </w:tc>
        <w:tc>
          <w:tcPr>
            <w:tcW w:w="917" w:type="dxa"/>
            <w:vAlign w:val="center"/>
          </w:tcPr>
          <w:p w14:paraId="52AD5485" w14:textId="77777777" w:rsidR="0055265E" w:rsidRDefault="0055265E" w:rsidP="00965F28">
            <w:pPr>
              <w:jc w:val="center"/>
            </w:pPr>
          </w:p>
        </w:tc>
        <w:tc>
          <w:tcPr>
            <w:tcW w:w="1925" w:type="dxa"/>
            <w:vAlign w:val="center"/>
          </w:tcPr>
          <w:p w14:paraId="5E906542" w14:textId="77777777" w:rsidR="0055265E" w:rsidRDefault="0055265E" w:rsidP="00965F28">
            <w:pPr>
              <w:jc w:val="center"/>
            </w:pPr>
          </w:p>
        </w:tc>
      </w:tr>
      <w:tr w:rsidR="0055265E" w14:paraId="0942A8F4" w14:textId="77777777" w:rsidTr="007877C4">
        <w:trPr>
          <w:trHeight w:val="567"/>
          <w:jc w:val="center"/>
        </w:trPr>
        <w:tc>
          <w:tcPr>
            <w:tcW w:w="562" w:type="dxa"/>
            <w:vAlign w:val="center"/>
          </w:tcPr>
          <w:p w14:paraId="077E58D3" w14:textId="77777777" w:rsidR="0055265E" w:rsidRDefault="004F6018" w:rsidP="00965F28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15225752" w14:textId="77777777" w:rsidR="0055265E" w:rsidRPr="0055265E" w:rsidRDefault="004F6018" w:rsidP="0055265E">
            <w:r w:rsidRPr="004F6018">
              <w:t>Siedziba Wnioskodawcy</w:t>
            </w:r>
          </w:p>
        </w:tc>
        <w:tc>
          <w:tcPr>
            <w:tcW w:w="4111" w:type="dxa"/>
            <w:vAlign w:val="center"/>
          </w:tcPr>
          <w:p w14:paraId="617C8EE6" w14:textId="77777777" w:rsidR="0055265E" w:rsidRPr="0055265E" w:rsidRDefault="004F6018" w:rsidP="0055265E">
            <w:r w:rsidRPr="004F6018">
              <w:t>Finansowaniu w ramach projektu podlegają wyłącznie projekty realizowane przez przedsiębiorców posiadających siedzibę lub oddział na terenie województwa warmińsko- mazurskiego i prowadzących działalność gospodarczą na terenie województwa warmińsko-mazurskiego</w:t>
            </w:r>
          </w:p>
        </w:tc>
        <w:tc>
          <w:tcPr>
            <w:tcW w:w="583" w:type="dxa"/>
            <w:vAlign w:val="center"/>
          </w:tcPr>
          <w:p w14:paraId="0282EA8B" w14:textId="77777777" w:rsidR="0055265E" w:rsidRDefault="0055265E" w:rsidP="00965F28">
            <w:pPr>
              <w:jc w:val="center"/>
            </w:pPr>
          </w:p>
        </w:tc>
        <w:tc>
          <w:tcPr>
            <w:tcW w:w="542" w:type="dxa"/>
            <w:vAlign w:val="center"/>
          </w:tcPr>
          <w:p w14:paraId="736C99EE" w14:textId="77777777" w:rsidR="0055265E" w:rsidRDefault="0055265E" w:rsidP="00965F28">
            <w:pPr>
              <w:jc w:val="center"/>
            </w:pPr>
          </w:p>
        </w:tc>
        <w:tc>
          <w:tcPr>
            <w:tcW w:w="917" w:type="dxa"/>
            <w:vAlign w:val="center"/>
          </w:tcPr>
          <w:p w14:paraId="285A2B96" w14:textId="77777777" w:rsidR="0055265E" w:rsidRDefault="0055265E" w:rsidP="00965F28">
            <w:pPr>
              <w:jc w:val="center"/>
            </w:pPr>
          </w:p>
        </w:tc>
        <w:tc>
          <w:tcPr>
            <w:tcW w:w="1925" w:type="dxa"/>
            <w:vAlign w:val="center"/>
          </w:tcPr>
          <w:p w14:paraId="2646E818" w14:textId="77777777" w:rsidR="0055265E" w:rsidRDefault="0055265E" w:rsidP="00965F28">
            <w:pPr>
              <w:jc w:val="center"/>
            </w:pPr>
          </w:p>
        </w:tc>
      </w:tr>
      <w:tr w:rsidR="0055265E" w14:paraId="4C2137C2" w14:textId="77777777" w:rsidTr="007877C4">
        <w:trPr>
          <w:trHeight w:val="567"/>
          <w:jc w:val="center"/>
        </w:trPr>
        <w:tc>
          <w:tcPr>
            <w:tcW w:w="562" w:type="dxa"/>
            <w:vAlign w:val="center"/>
          </w:tcPr>
          <w:p w14:paraId="5D585003" w14:textId="77777777" w:rsidR="0055265E" w:rsidRDefault="004F6018" w:rsidP="00965F28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14:paraId="200265D9" w14:textId="77777777" w:rsidR="0055265E" w:rsidRPr="0055265E" w:rsidRDefault="004F6018" w:rsidP="0055265E">
            <w:r w:rsidRPr="004F6018">
              <w:t>Lokalizacja przedsięwzięcia</w:t>
            </w:r>
          </w:p>
        </w:tc>
        <w:tc>
          <w:tcPr>
            <w:tcW w:w="4111" w:type="dxa"/>
            <w:vAlign w:val="center"/>
          </w:tcPr>
          <w:p w14:paraId="1709F8BF" w14:textId="77777777" w:rsidR="0055265E" w:rsidRPr="0055265E" w:rsidRDefault="004F6018" w:rsidP="0055265E">
            <w:r w:rsidRPr="004F6018">
              <w:t>województwo warmińsko-mazurskie</w:t>
            </w:r>
          </w:p>
        </w:tc>
        <w:tc>
          <w:tcPr>
            <w:tcW w:w="583" w:type="dxa"/>
            <w:vAlign w:val="center"/>
          </w:tcPr>
          <w:p w14:paraId="749872BA" w14:textId="77777777" w:rsidR="0055265E" w:rsidRDefault="0055265E" w:rsidP="00965F28">
            <w:pPr>
              <w:jc w:val="center"/>
            </w:pPr>
          </w:p>
        </w:tc>
        <w:tc>
          <w:tcPr>
            <w:tcW w:w="542" w:type="dxa"/>
            <w:vAlign w:val="center"/>
          </w:tcPr>
          <w:p w14:paraId="17764461" w14:textId="77777777" w:rsidR="0055265E" w:rsidRDefault="0055265E" w:rsidP="00965F28">
            <w:pPr>
              <w:jc w:val="center"/>
            </w:pPr>
          </w:p>
        </w:tc>
        <w:tc>
          <w:tcPr>
            <w:tcW w:w="917" w:type="dxa"/>
            <w:vAlign w:val="center"/>
          </w:tcPr>
          <w:p w14:paraId="2F2A0BFD" w14:textId="77777777" w:rsidR="0055265E" w:rsidRDefault="0055265E" w:rsidP="00965F28">
            <w:pPr>
              <w:jc w:val="center"/>
            </w:pPr>
          </w:p>
        </w:tc>
        <w:tc>
          <w:tcPr>
            <w:tcW w:w="1925" w:type="dxa"/>
            <w:vAlign w:val="center"/>
          </w:tcPr>
          <w:p w14:paraId="7B1ABF13" w14:textId="77777777" w:rsidR="0055265E" w:rsidRDefault="0055265E" w:rsidP="00965F28">
            <w:pPr>
              <w:jc w:val="center"/>
            </w:pPr>
          </w:p>
        </w:tc>
      </w:tr>
      <w:tr w:rsidR="0055265E" w14:paraId="4A0EF60E" w14:textId="77777777" w:rsidTr="007877C4">
        <w:trPr>
          <w:trHeight w:val="567"/>
          <w:jc w:val="center"/>
        </w:trPr>
        <w:tc>
          <w:tcPr>
            <w:tcW w:w="562" w:type="dxa"/>
            <w:vAlign w:val="center"/>
          </w:tcPr>
          <w:p w14:paraId="3164F10F" w14:textId="77777777" w:rsidR="0055265E" w:rsidRDefault="004F6018" w:rsidP="00965F28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14:paraId="08808F4A" w14:textId="77777777" w:rsidR="0055265E" w:rsidRPr="0055265E" w:rsidRDefault="00E9621E" w:rsidP="0055265E">
            <w:r w:rsidRPr="00E9621E">
              <w:t>Kwota pożyczki</w:t>
            </w:r>
          </w:p>
        </w:tc>
        <w:tc>
          <w:tcPr>
            <w:tcW w:w="4111" w:type="dxa"/>
            <w:vAlign w:val="center"/>
          </w:tcPr>
          <w:p w14:paraId="4705BE42" w14:textId="77777777" w:rsidR="0055265E" w:rsidRPr="0055265E" w:rsidRDefault="00E9621E" w:rsidP="00E9621E">
            <w:r w:rsidRPr="00E9621E">
              <w:t>&gt;5 000 zł;</w:t>
            </w:r>
            <w:r>
              <w:br/>
            </w:r>
            <w:r w:rsidRPr="00E9621E">
              <w:t>&lt; 1 000 000 zł</w:t>
            </w:r>
          </w:p>
        </w:tc>
        <w:tc>
          <w:tcPr>
            <w:tcW w:w="583" w:type="dxa"/>
            <w:vAlign w:val="center"/>
          </w:tcPr>
          <w:p w14:paraId="4260C28B" w14:textId="77777777" w:rsidR="0055265E" w:rsidRDefault="0055265E" w:rsidP="00965F28">
            <w:pPr>
              <w:jc w:val="center"/>
            </w:pPr>
          </w:p>
        </w:tc>
        <w:tc>
          <w:tcPr>
            <w:tcW w:w="542" w:type="dxa"/>
            <w:vAlign w:val="center"/>
          </w:tcPr>
          <w:p w14:paraId="15141CCD" w14:textId="77777777" w:rsidR="0055265E" w:rsidRDefault="0055265E" w:rsidP="00965F28">
            <w:pPr>
              <w:jc w:val="center"/>
            </w:pPr>
          </w:p>
        </w:tc>
        <w:tc>
          <w:tcPr>
            <w:tcW w:w="917" w:type="dxa"/>
            <w:vAlign w:val="center"/>
          </w:tcPr>
          <w:p w14:paraId="3FA190D5" w14:textId="77777777" w:rsidR="0055265E" w:rsidRDefault="0055265E" w:rsidP="00965F28">
            <w:pPr>
              <w:jc w:val="center"/>
            </w:pPr>
          </w:p>
        </w:tc>
        <w:tc>
          <w:tcPr>
            <w:tcW w:w="1925" w:type="dxa"/>
            <w:vAlign w:val="center"/>
          </w:tcPr>
          <w:p w14:paraId="343E033C" w14:textId="77777777" w:rsidR="0055265E" w:rsidRDefault="0055265E" w:rsidP="00965F28">
            <w:pPr>
              <w:jc w:val="center"/>
            </w:pPr>
          </w:p>
        </w:tc>
      </w:tr>
      <w:tr w:rsidR="0055265E" w14:paraId="3A603EEC" w14:textId="77777777" w:rsidTr="007877C4">
        <w:trPr>
          <w:trHeight w:val="567"/>
          <w:jc w:val="center"/>
        </w:trPr>
        <w:tc>
          <w:tcPr>
            <w:tcW w:w="562" w:type="dxa"/>
            <w:vAlign w:val="center"/>
          </w:tcPr>
          <w:p w14:paraId="3B024816" w14:textId="77777777" w:rsidR="0055265E" w:rsidRDefault="00E9621E" w:rsidP="00965F28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14:paraId="61943507" w14:textId="77777777" w:rsidR="0055265E" w:rsidRPr="0055265E" w:rsidRDefault="00DB2AC5" w:rsidP="0055265E">
            <w:r w:rsidRPr="00DB2AC5">
              <w:t>Okres spłaty</w:t>
            </w:r>
          </w:p>
        </w:tc>
        <w:tc>
          <w:tcPr>
            <w:tcW w:w="4111" w:type="dxa"/>
            <w:vAlign w:val="center"/>
          </w:tcPr>
          <w:p w14:paraId="0DC340DC" w14:textId="77777777" w:rsidR="0055265E" w:rsidRPr="0055265E" w:rsidRDefault="00DB2AC5" w:rsidP="0055265E">
            <w:r w:rsidRPr="00DB2AC5">
              <w:t>&lt;  96 miesięcy</w:t>
            </w:r>
          </w:p>
        </w:tc>
        <w:tc>
          <w:tcPr>
            <w:tcW w:w="583" w:type="dxa"/>
            <w:vAlign w:val="center"/>
          </w:tcPr>
          <w:p w14:paraId="169C004E" w14:textId="77777777" w:rsidR="0055265E" w:rsidRDefault="0055265E" w:rsidP="00965F28">
            <w:pPr>
              <w:jc w:val="center"/>
            </w:pPr>
          </w:p>
        </w:tc>
        <w:tc>
          <w:tcPr>
            <w:tcW w:w="542" w:type="dxa"/>
            <w:vAlign w:val="center"/>
          </w:tcPr>
          <w:p w14:paraId="79C475A4" w14:textId="77777777" w:rsidR="0055265E" w:rsidRDefault="0055265E" w:rsidP="00965F28">
            <w:pPr>
              <w:jc w:val="center"/>
            </w:pPr>
          </w:p>
        </w:tc>
        <w:tc>
          <w:tcPr>
            <w:tcW w:w="917" w:type="dxa"/>
            <w:vAlign w:val="center"/>
          </w:tcPr>
          <w:p w14:paraId="00E21575" w14:textId="77777777" w:rsidR="0055265E" w:rsidRDefault="0055265E" w:rsidP="00965F28">
            <w:pPr>
              <w:jc w:val="center"/>
            </w:pPr>
          </w:p>
        </w:tc>
        <w:tc>
          <w:tcPr>
            <w:tcW w:w="1925" w:type="dxa"/>
            <w:vAlign w:val="center"/>
          </w:tcPr>
          <w:p w14:paraId="7C5DED29" w14:textId="77777777" w:rsidR="0055265E" w:rsidRDefault="0055265E" w:rsidP="00965F28">
            <w:pPr>
              <w:jc w:val="center"/>
            </w:pPr>
          </w:p>
        </w:tc>
      </w:tr>
      <w:tr w:rsidR="00DB2AC5" w14:paraId="2EF529BE" w14:textId="77777777" w:rsidTr="007151BA">
        <w:trPr>
          <w:trHeight w:val="567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95AC0DF" w14:textId="77777777" w:rsidR="00DB2AC5" w:rsidRDefault="00DB2AC5" w:rsidP="00965F28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A5FC62" w14:textId="77777777" w:rsidR="00F34462" w:rsidRPr="00DB2AC5" w:rsidRDefault="006A16E6" w:rsidP="0055265E">
            <w:r w:rsidRPr="006A16E6">
              <w:t>Okres karencji w spłacie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FD01F7A" w14:textId="77777777" w:rsidR="00DB2AC5" w:rsidRPr="00DB2AC5" w:rsidRDefault="006A16E6" w:rsidP="0055265E">
            <w:r w:rsidRPr="006A16E6">
              <w:t>do 12 miesięcy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6E549064" w14:textId="77777777" w:rsidR="00DB2AC5" w:rsidRDefault="00DB2AC5" w:rsidP="00965F28">
            <w:pPr>
              <w:jc w:val="center"/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D343CF2" w14:textId="77777777" w:rsidR="00DB2AC5" w:rsidRDefault="00DB2AC5" w:rsidP="00965F28">
            <w:pPr>
              <w:jc w:val="center"/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1812EA0E" w14:textId="77777777" w:rsidR="00DB2AC5" w:rsidRDefault="00DB2AC5" w:rsidP="00965F28">
            <w:pPr>
              <w:jc w:val="center"/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28A9E245" w14:textId="77777777" w:rsidR="00DB2AC5" w:rsidRDefault="00DB2AC5" w:rsidP="00965F28">
            <w:pPr>
              <w:jc w:val="center"/>
            </w:pPr>
          </w:p>
          <w:p w14:paraId="185A39F9" w14:textId="77777777" w:rsidR="00F34462" w:rsidRDefault="00F34462" w:rsidP="00965F28">
            <w:pPr>
              <w:jc w:val="center"/>
            </w:pPr>
          </w:p>
          <w:p w14:paraId="586ED52E" w14:textId="77777777" w:rsidR="00F34462" w:rsidRDefault="00F34462" w:rsidP="00965F28">
            <w:pPr>
              <w:jc w:val="center"/>
            </w:pPr>
          </w:p>
        </w:tc>
      </w:tr>
      <w:tr w:rsidR="006A16E6" w14:paraId="4531A89B" w14:textId="77777777" w:rsidTr="007151B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244F" w14:textId="77777777" w:rsidR="006A16E6" w:rsidRDefault="006A16E6" w:rsidP="00965F28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0ACB7" w14:textId="158B9719" w:rsidR="006A16E6" w:rsidRPr="006A16E6" w:rsidRDefault="007151BA" w:rsidP="0055265E">
            <w:r w:rsidRPr="007151BA">
              <w:t xml:space="preserve">Łączne zaangażowanie Wnioskodawcy w ramach </w:t>
            </w:r>
            <w:r>
              <w:lastRenderedPageBreak/>
              <w:t xml:space="preserve">instrumentu </w:t>
            </w:r>
            <w:proofErr w:type="spellStart"/>
            <w:r>
              <w:t>PIzP</w:t>
            </w:r>
            <w:proofErr w:type="spellEnd"/>
            <w:r>
              <w:t xml:space="preserve"> nie przekracza</w:t>
            </w:r>
            <w:r>
              <w:br/>
            </w:r>
            <w:r w:rsidRPr="007151BA">
              <w:t xml:space="preserve">1 </w:t>
            </w:r>
            <w:r w:rsidR="007310B2">
              <w:t>5</w:t>
            </w:r>
            <w:r w:rsidRPr="007151BA">
              <w:t>00 000 zł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E9CEF" w14:textId="77777777" w:rsidR="006A16E6" w:rsidRPr="006A16E6" w:rsidRDefault="007151BA" w:rsidP="0055265E">
            <w:r w:rsidRPr="007151BA">
              <w:lastRenderedPageBreak/>
              <w:t xml:space="preserve">Wartość wszystkich udzielonych pożyczek w ramach instrumentu </w:t>
            </w:r>
            <w:proofErr w:type="spellStart"/>
            <w:r w:rsidRPr="007151BA">
              <w:t>PIzP</w:t>
            </w:r>
            <w:proofErr w:type="spellEnd"/>
            <w:r w:rsidRPr="007151BA">
              <w:t xml:space="preserve"> (dotyczy Wnioskodawcy korzystającego po raz kolejny z instrumentu </w:t>
            </w:r>
            <w:proofErr w:type="spellStart"/>
            <w:r w:rsidRPr="007151BA">
              <w:t>PIzP</w:t>
            </w:r>
            <w:proofErr w:type="spellEnd"/>
            <w:r w:rsidRPr="007151BA">
              <w:t>)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735FF" w14:textId="77777777" w:rsidR="006A16E6" w:rsidRDefault="006A16E6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F41D2" w14:textId="77777777" w:rsidR="006A16E6" w:rsidRDefault="006A16E6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C206" w14:textId="77777777" w:rsidR="006A16E6" w:rsidRDefault="006A16E6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C2484" w14:textId="77777777" w:rsidR="006A16E6" w:rsidRDefault="006A16E6" w:rsidP="00965F28">
            <w:pPr>
              <w:jc w:val="center"/>
            </w:pPr>
          </w:p>
        </w:tc>
      </w:tr>
      <w:tr w:rsidR="00150742" w14:paraId="261F5B81" w14:textId="77777777" w:rsidTr="00150742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E152F" w14:textId="77777777" w:rsidR="00150742" w:rsidRPr="005016C5" w:rsidRDefault="00150742" w:rsidP="00150742">
            <w:pPr>
              <w:rPr>
                <w:b/>
              </w:rPr>
            </w:pPr>
            <w:r w:rsidRPr="005016C5">
              <w:rPr>
                <w:b/>
              </w:rPr>
              <w:lastRenderedPageBreak/>
              <w:t>II. Kryteria uprawniające do skorzystania z preferencji</w:t>
            </w:r>
          </w:p>
        </w:tc>
      </w:tr>
      <w:tr w:rsidR="007151BA" w14:paraId="07D15B2C" w14:textId="77777777" w:rsidTr="007151B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63CE1" w14:textId="77777777" w:rsidR="007151BA" w:rsidRDefault="00150742" w:rsidP="00965F28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A557C" w14:textId="77777777" w:rsidR="007151BA" w:rsidRPr="007151BA" w:rsidRDefault="0045647A" w:rsidP="0055265E">
            <w:r w:rsidRPr="0045647A">
              <w:t>Poprawa  potencjału konkurencyjnego przedsiębiorstw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E5668" w14:textId="77777777" w:rsidR="007151BA" w:rsidRPr="007151BA" w:rsidRDefault="0045647A" w:rsidP="0055265E">
            <w:r w:rsidRPr="0045647A">
              <w:t>Opis zawarty w biznes planie/planie przedsięwzięcia w stopniu przekonującym wskazuje, że rezultatem inwestycji będzie poprawa potencjału konkurencyjnego przedsiębiorstw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59DE2" w14:textId="77777777" w:rsidR="007151BA" w:rsidRDefault="007151BA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6D998" w14:textId="77777777" w:rsidR="007151BA" w:rsidRDefault="007151BA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664AC" w14:textId="77777777" w:rsidR="007151BA" w:rsidRDefault="007151BA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10D20" w14:textId="77777777" w:rsidR="007151BA" w:rsidRDefault="007151BA" w:rsidP="00965F28">
            <w:pPr>
              <w:jc w:val="center"/>
            </w:pPr>
          </w:p>
        </w:tc>
      </w:tr>
      <w:tr w:rsidR="005E33DE" w14:paraId="141F665E" w14:textId="77777777" w:rsidTr="004063AB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05A35299" w14:textId="77777777" w:rsidR="005E33DE" w:rsidRDefault="005E33DE" w:rsidP="00965F28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5A4601E" w14:textId="77777777" w:rsidR="005E33DE" w:rsidRPr="007151BA" w:rsidRDefault="005E33DE" w:rsidP="0055265E">
            <w:r w:rsidRPr="0045647A">
              <w:t>Cel finansowania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84300" w14:textId="77777777" w:rsidR="005E33DE" w:rsidRPr="007151BA" w:rsidRDefault="005E33DE" w:rsidP="0055265E">
            <w:r w:rsidRPr="00C47B50">
              <w:t>maszyny i sprzęt produkcyjny (przedsięwzięcia rozwojowe np. modernizacja środków produkcji, wyposażenie nowych lub doposażenie istniejących miejsc pracy)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F4A9D" w14:textId="77777777" w:rsidR="005E33DE" w:rsidRDefault="005E33DE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E4D5D" w14:textId="77777777" w:rsidR="005E33DE" w:rsidRDefault="005E33DE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ACAF1" w14:textId="77777777" w:rsidR="005E33DE" w:rsidRDefault="005E33DE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85770" w14:textId="77777777" w:rsidR="005E33DE" w:rsidRDefault="005E33DE" w:rsidP="00965F28">
            <w:pPr>
              <w:jc w:val="center"/>
            </w:pPr>
          </w:p>
        </w:tc>
      </w:tr>
      <w:tr w:rsidR="005E33DE" w14:paraId="7DB3E236" w14:textId="77777777" w:rsidTr="004063AB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13A6CF3C" w14:textId="77777777" w:rsidR="005E33DE" w:rsidRDefault="005E33DE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168F549" w14:textId="77777777" w:rsidR="005E33DE" w:rsidRPr="007151BA" w:rsidRDefault="005E33DE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6A5BF" w14:textId="77777777" w:rsidR="005E33DE" w:rsidRPr="007151BA" w:rsidRDefault="005E33DE" w:rsidP="0055265E">
            <w:r w:rsidRPr="00C47B50">
              <w:t>nowoczesne technologie informacyjno-komunikacyjne (TIK)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15B04" w14:textId="77777777" w:rsidR="005E33DE" w:rsidRDefault="005E33DE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D8A80" w14:textId="77777777" w:rsidR="005E33DE" w:rsidRDefault="005E33DE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70ACC" w14:textId="77777777" w:rsidR="005E33DE" w:rsidRDefault="005E33DE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5F3B9" w14:textId="77777777" w:rsidR="005E33DE" w:rsidRDefault="005E33DE" w:rsidP="00965F28">
            <w:pPr>
              <w:jc w:val="center"/>
            </w:pPr>
          </w:p>
        </w:tc>
      </w:tr>
      <w:tr w:rsidR="005E33DE" w14:paraId="27EE8167" w14:textId="77777777" w:rsidTr="004063AB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8FA21EE" w14:textId="77777777" w:rsidR="005E33DE" w:rsidRDefault="005E33DE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EF4B274" w14:textId="77777777" w:rsidR="005E33DE" w:rsidRPr="007151BA" w:rsidRDefault="005E33DE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EE3E1" w14:textId="77777777" w:rsidR="005E33DE" w:rsidRPr="007151BA" w:rsidRDefault="005E33DE" w:rsidP="0055265E">
            <w:r w:rsidRPr="00C47B50">
              <w:t>innowacje produktowe i procesowe m. in. poprzez adaptowanie gotowych technologii i rozwiązań zakupionych przez przedsiębiorstwo, wprowadzanie tzw. innowacji imitujących, innowacji w skali przedsiębiorstwa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237A" w14:textId="77777777" w:rsidR="005E33DE" w:rsidRDefault="005E33DE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2D929" w14:textId="77777777" w:rsidR="005E33DE" w:rsidRDefault="005E33DE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1CB91" w14:textId="77777777" w:rsidR="005E33DE" w:rsidRDefault="005E33DE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5311" w14:textId="77777777" w:rsidR="005E33DE" w:rsidRDefault="005E33DE" w:rsidP="00965F28">
            <w:pPr>
              <w:jc w:val="center"/>
            </w:pPr>
          </w:p>
        </w:tc>
      </w:tr>
      <w:tr w:rsidR="005E33DE" w14:paraId="1431B148" w14:textId="77777777" w:rsidTr="004063AB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03E7182D" w14:textId="77777777" w:rsidR="005E33DE" w:rsidRDefault="005E33DE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3971BF6" w14:textId="77777777" w:rsidR="005E33DE" w:rsidRPr="007151BA" w:rsidRDefault="005E33DE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88D3F" w14:textId="77777777" w:rsidR="005E33DE" w:rsidRPr="007151BA" w:rsidRDefault="005E33DE" w:rsidP="0055265E">
            <w:r w:rsidRPr="00C47B50">
              <w:t>inwestycje w środki trwałe i wartości niematerialne i prawne zgodnie z przepisami prawa unijnego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FA4C5" w14:textId="77777777" w:rsidR="005E33DE" w:rsidRDefault="005E33DE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EF37" w14:textId="77777777" w:rsidR="005E33DE" w:rsidRDefault="005E33DE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5B5B2" w14:textId="77777777" w:rsidR="005E33DE" w:rsidRDefault="005E33DE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847A6" w14:textId="77777777" w:rsidR="005E33DE" w:rsidRDefault="005E33DE" w:rsidP="00965F28">
            <w:pPr>
              <w:jc w:val="center"/>
            </w:pPr>
          </w:p>
        </w:tc>
      </w:tr>
      <w:tr w:rsidR="005E33DE" w14:paraId="2A66D982" w14:textId="77777777" w:rsidTr="004063AB">
        <w:trPr>
          <w:trHeight w:val="56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16AC1F1" w14:textId="77777777" w:rsidR="005E33DE" w:rsidRDefault="005E33DE" w:rsidP="00965F28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79F0987" w14:textId="77777777" w:rsidR="005E33DE" w:rsidRPr="007151BA" w:rsidRDefault="005E33DE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D44C0" w14:textId="77777777" w:rsidR="005E33DE" w:rsidRPr="00C47B50" w:rsidRDefault="005E33DE" w:rsidP="0055265E">
            <w:r w:rsidRPr="005E33DE">
              <w:t>inny (jaki?)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3693D" w14:textId="77777777" w:rsidR="005E33DE" w:rsidRDefault="005E33DE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95426" w14:textId="77777777" w:rsidR="005E33DE" w:rsidRDefault="005E33DE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33E9" w14:textId="77777777" w:rsidR="005E33DE" w:rsidRDefault="005E33DE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A4004" w14:textId="77777777" w:rsidR="005E33DE" w:rsidRDefault="005E33DE" w:rsidP="00965F28">
            <w:pPr>
              <w:jc w:val="center"/>
            </w:pPr>
          </w:p>
        </w:tc>
      </w:tr>
      <w:tr w:rsidR="00C47B50" w14:paraId="7E1D4868" w14:textId="77777777" w:rsidTr="00C47B50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31409" w14:textId="77777777" w:rsidR="00C47B50" w:rsidRDefault="005016C5" w:rsidP="00965F2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85DE" w14:textId="77777777" w:rsidR="00C47B50" w:rsidRPr="007151BA" w:rsidRDefault="005016C5" w:rsidP="0055265E">
            <w:r w:rsidRPr="005016C5">
              <w:t>Zdolność do rozszerzenia oferty o nowe  produkty lub usługi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0855E" w14:textId="77777777" w:rsidR="00C47B50" w:rsidRPr="00C47B50" w:rsidRDefault="005016C5" w:rsidP="0055265E">
            <w:r w:rsidRPr="005016C5">
              <w:t>Opis zawarty w biznesplanie/planie przedsięwzięcia w stopniu przekonującym wskazuje że rezultatem inwestycji będzie rozszerzenie oferty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93A51" w14:textId="77777777" w:rsidR="00C47B50" w:rsidRDefault="00C47B50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F2718" w14:textId="77777777" w:rsidR="00C47B50" w:rsidRDefault="00C47B50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B8C40" w14:textId="77777777" w:rsidR="00C47B50" w:rsidRDefault="00C47B50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0467F" w14:textId="77777777" w:rsidR="00C47B50" w:rsidRDefault="00C47B50" w:rsidP="00965F28">
            <w:pPr>
              <w:jc w:val="center"/>
            </w:pPr>
          </w:p>
        </w:tc>
      </w:tr>
      <w:tr w:rsidR="005016C5" w14:paraId="0AA22349" w14:textId="77777777" w:rsidTr="00FD1EB9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FA88E" w14:textId="77777777" w:rsidR="005016C5" w:rsidRPr="005016C5" w:rsidRDefault="005016C5" w:rsidP="005016C5">
            <w:pPr>
              <w:rPr>
                <w:b/>
              </w:rPr>
            </w:pPr>
            <w:r w:rsidRPr="005016C5">
              <w:rPr>
                <w:b/>
              </w:rPr>
              <w:t>III. Zgodność przeznaczenia finansowania z kartą produktu</w:t>
            </w:r>
          </w:p>
        </w:tc>
      </w:tr>
      <w:tr w:rsidR="00642B59" w14:paraId="406A7ED5" w14:textId="77777777" w:rsidTr="00FD6AA5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093056E1" w14:textId="77777777" w:rsidR="00642B59" w:rsidRDefault="00642B59" w:rsidP="00965F28">
            <w:pPr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E81A16D" w14:textId="77777777" w:rsidR="00642B59" w:rsidRPr="007151BA" w:rsidRDefault="00642B59" w:rsidP="0055265E">
            <w:r w:rsidRPr="00642B59">
              <w:t>Zgodność przeznaczenia finansowania z kartą produktu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821A" w14:textId="77777777" w:rsidR="00642B59" w:rsidRPr="00C47B50" w:rsidRDefault="00642B59" w:rsidP="0055265E">
            <w:r w:rsidRPr="00642B59">
              <w:t>maszyny i sprzęt produkcyjny (przedsięwzięcia rozwojowe, np. modernizacja środków produkcji, wyposażenie nowych lub doposażenie istniejących miejsc pracy)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DFF6F" w14:textId="77777777" w:rsidR="00642B59" w:rsidRDefault="00642B5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CECA9" w14:textId="77777777" w:rsidR="00642B59" w:rsidRDefault="00642B5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FF718" w14:textId="77777777" w:rsidR="00642B59" w:rsidRDefault="00642B5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73C8B" w14:textId="77777777" w:rsidR="00642B59" w:rsidRDefault="00642B59" w:rsidP="00965F28">
            <w:pPr>
              <w:jc w:val="center"/>
            </w:pPr>
          </w:p>
        </w:tc>
      </w:tr>
      <w:tr w:rsidR="00642B59" w14:paraId="6FE62061" w14:textId="77777777" w:rsidTr="00FD6AA5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50907F27" w14:textId="77777777" w:rsidR="00642B59" w:rsidRDefault="00642B5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26AE9D6" w14:textId="77777777" w:rsidR="00642B59" w:rsidRPr="007151BA" w:rsidRDefault="00642B5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99B72" w14:textId="77777777" w:rsidR="00642B59" w:rsidRPr="00C47B50" w:rsidRDefault="00642B59" w:rsidP="0055265E">
            <w:r w:rsidRPr="00642B59">
              <w:t xml:space="preserve">nowoczesne technologie </w:t>
            </w:r>
            <w:proofErr w:type="spellStart"/>
            <w:r w:rsidRPr="00642B59">
              <w:t>informacyjno</w:t>
            </w:r>
            <w:proofErr w:type="spellEnd"/>
            <w:r w:rsidRPr="00642B59">
              <w:t xml:space="preserve"> –komunikacyjne (TIK)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D430D" w14:textId="77777777" w:rsidR="00642B59" w:rsidRDefault="00642B5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20D03" w14:textId="77777777" w:rsidR="00642B59" w:rsidRDefault="00642B5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9E3E9" w14:textId="77777777" w:rsidR="00642B59" w:rsidRDefault="00642B5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947DA" w14:textId="77777777" w:rsidR="00642B59" w:rsidRDefault="00642B59" w:rsidP="00965F28">
            <w:pPr>
              <w:jc w:val="center"/>
            </w:pPr>
          </w:p>
        </w:tc>
      </w:tr>
      <w:tr w:rsidR="00642B59" w14:paraId="7AED2AD7" w14:textId="77777777" w:rsidTr="00FD6AA5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6A750D31" w14:textId="77777777" w:rsidR="00642B59" w:rsidRDefault="00642B5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787F6A1" w14:textId="77777777" w:rsidR="00642B59" w:rsidRPr="007151BA" w:rsidRDefault="00642B5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D528F" w14:textId="77777777" w:rsidR="00642B59" w:rsidRPr="00C47B50" w:rsidRDefault="00642B59" w:rsidP="0055265E">
            <w:r w:rsidRPr="00642B59">
              <w:t>innowacje produktowe i procesowe, m.in. poprzez adaptowanie gotowych technologii i rozwiązań  zakupionych  przez  przedsiębiorstwo,  wprowadzanie tzw. innowacji imitujących, innowacji w skali przedsiębiorstwa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50A25" w14:textId="77777777" w:rsidR="00642B59" w:rsidRDefault="00642B5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3113E" w14:textId="77777777" w:rsidR="00642B59" w:rsidRDefault="00642B5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975A1" w14:textId="77777777" w:rsidR="00642B59" w:rsidRDefault="00642B5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26FF1" w14:textId="77777777" w:rsidR="00642B59" w:rsidRDefault="00642B59" w:rsidP="00965F28">
            <w:pPr>
              <w:jc w:val="center"/>
            </w:pPr>
          </w:p>
        </w:tc>
      </w:tr>
      <w:tr w:rsidR="00642B59" w14:paraId="1F840791" w14:textId="77777777" w:rsidTr="006005F4">
        <w:trPr>
          <w:trHeight w:val="1189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77918671" w14:textId="77777777" w:rsidR="00642B59" w:rsidRDefault="00642B59" w:rsidP="00965F28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4DFA57F" w14:textId="77777777" w:rsidR="00642B59" w:rsidRPr="007151BA" w:rsidRDefault="00642B5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CCA23" w14:textId="77777777" w:rsidR="00642B59" w:rsidRPr="00C47B50" w:rsidRDefault="00642B59" w:rsidP="0055265E">
            <w:r w:rsidRPr="00642B59">
              <w:t>Inne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361C0" w14:textId="77777777" w:rsidR="00642B59" w:rsidRDefault="00642B5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9F611" w14:textId="77777777" w:rsidR="00642B59" w:rsidRDefault="00642B5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1B28E" w14:textId="77777777" w:rsidR="00642B59" w:rsidRDefault="00642B5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BDD42" w14:textId="77777777" w:rsidR="00642B59" w:rsidRDefault="00642B59" w:rsidP="00965F28">
            <w:pPr>
              <w:jc w:val="center"/>
            </w:pPr>
          </w:p>
        </w:tc>
      </w:tr>
      <w:tr w:rsidR="004C47C6" w14:paraId="073556E2" w14:textId="77777777" w:rsidTr="004C47C6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3104E" w14:textId="77777777" w:rsidR="004C47C6" w:rsidRPr="00930271" w:rsidRDefault="004C47C6" w:rsidP="004C47C6">
            <w:pPr>
              <w:rPr>
                <w:b/>
              </w:rPr>
            </w:pPr>
            <w:r w:rsidRPr="00930271">
              <w:rPr>
                <w:b/>
              </w:rPr>
              <w:lastRenderedPageBreak/>
              <w:t>IV. Wykluczenia i ograniczenia w finansowaniu</w:t>
            </w:r>
          </w:p>
        </w:tc>
      </w:tr>
      <w:tr w:rsidR="000B7E29" w14:paraId="175ED37E" w14:textId="77777777" w:rsidTr="000B7E29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14:paraId="2452C7B6" w14:textId="77777777" w:rsidR="000B7E29" w:rsidRDefault="000B7E29" w:rsidP="000B7E29">
            <w:pPr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6C46005" w14:textId="77777777" w:rsidR="000B7E29" w:rsidRPr="007151BA" w:rsidRDefault="000B7E29" w:rsidP="000B7E29">
            <w:r w:rsidRPr="00930271">
              <w:t xml:space="preserve">Wykluczenia i ograniczenia w finansowaniu </w:t>
            </w:r>
            <w:proofErr w:type="spellStart"/>
            <w:r w:rsidRPr="00930271">
              <w:t>PIzP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45D90" w14:textId="77777777" w:rsidR="000B7E29" w:rsidRPr="00C47B50" w:rsidRDefault="000B7E29" w:rsidP="0055265E">
            <w:r w:rsidRPr="00930271">
              <w:t>refinansowanie zadłużenia, w tym spłata pożyczek i kredytów zaciągniętych u innych podmiotów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0433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BFCC7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D5FD8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2BD8E" w14:textId="77777777" w:rsidR="000B7E29" w:rsidRDefault="000B7E29" w:rsidP="00965F28">
            <w:pPr>
              <w:jc w:val="center"/>
            </w:pPr>
          </w:p>
        </w:tc>
      </w:tr>
      <w:tr w:rsidR="000B7E29" w14:paraId="38E27FE2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2BE4599F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24F0239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54043" w14:textId="77777777" w:rsidR="000B7E29" w:rsidRPr="00C47B50" w:rsidRDefault="000B7E29" w:rsidP="0055265E">
            <w:r w:rsidRPr="00930271">
              <w:t>spłata zobowiązań publiczno</w:t>
            </w:r>
            <w:r>
              <w:t>-prawnych Ostatecznego Odbiorcy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F3869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3E778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39979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3773F" w14:textId="77777777" w:rsidR="000B7E29" w:rsidRDefault="000B7E29" w:rsidP="00965F28">
            <w:pPr>
              <w:jc w:val="center"/>
            </w:pPr>
          </w:p>
        </w:tc>
      </w:tr>
      <w:tr w:rsidR="000B7E29" w14:paraId="6CB4AA1D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6450CC54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ABB9A72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0B86A" w14:textId="77777777" w:rsidR="000B7E29" w:rsidRPr="00C47B50" w:rsidRDefault="000B7E29" w:rsidP="0055265E">
            <w:r w:rsidRPr="00930271">
              <w:t xml:space="preserve">finansowanie celów niezwiązanych bezpośrednio </w:t>
            </w:r>
            <w:r>
              <w:t>z działalnością gospodarczą MŚP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FB2C5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9F77F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8AB5C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2DBBD" w14:textId="77777777" w:rsidR="000B7E29" w:rsidRDefault="000B7E29" w:rsidP="00965F28">
            <w:pPr>
              <w:jc w:val="center"/>
            </w:pPr>
          </w:p>
        </w:tc>
      </w:tr>
      <w:tr w:rsidR="000B7E29" w14:paraId="5B61EF23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69EF0D2C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2D94DE5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DF5CD" w14:textId="77777777" w:rsidR="000B7E29" w:rsidRPr="00C47B50" w:rsidRDefault="000B7E29" w:rsidP="0055265E">
            <w:r w:rsidRPr="00930271">
              <w:t>pokrywanie  bieżących  kosztów  prowadzenia  działalności  gospodarczej  lub  celów konsumpcyjnych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B8860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B889E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4E2A7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7DE8F" w14:textId="77777777" w:rsidR="000B7E29" w:rsidRDefault="000B7E29" w:rsidP="00965F28">
            <w:pPr>
              <w:jc w:val="center"/>
            </w:pPr>
          </w:p>
        </w:tc>
      </w:tr>
      <w:tr w:rsidR="000B7E29" w14:paraId="6C47978F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571FEDBA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EEFD481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85432" w14:textId="77777777" w:rsidR="000B7E29" w:rsidRPr="00C47B50" w:rsidRDefault="000B7E29" w:rsidP="0055265E">
            <w:r w:rsidRPr="00930271">
              <w:t>współfinansowanie  wydatków  z  innych  funduszy  UE  bądź  wydatków współfinansowanych z innego wspólnotowego instrumentu finansowego, Funduszy Strukturalnych, programów, środków i instrumentów Unii Europejskiej, a także innych źródeł p</w:t>
            </w:r>
            <w:r>
              <w:t>omocy krajowej lub zagranicznej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2DB68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7E511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BB789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CCE00" w14:textId="77777777" w:rsidR="000B7E29" w:rsidRDefault="000B7E29" w:rsidP="00965F28">
            <w:pPr>
              <w:jc w:val="center"/>
            </w:pPr>
          </w:p>
        </w:tc>
      </w:tr>
      <w:tr w:rsidR="000B7E29" w14:paraId="4ED36C9A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118E46AF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A3A5343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8E0D8" w14:textId="77777777" w:rsidR="000B7E29" w:rsidRPr="00C47B50" w:rsidRDefault="000B7E29" w:rsidP="0055265E">
            <w:r w:rsidRPr="00640EF6">
              <w:t>refinansowanie inwestycji, które w dniu podjęcia decyzji inwestycyjnej zostały fizycznie</w:t>
            </w:r>
            <w:r>
              <w:t xml:space="preserve"> ukończone lub w pełni wdrożone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9E73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995C4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360EF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A9DC5" w14:textId="77777777" w:rsidR="000B7E29" w:rsidRDefault="000B7E29" w:rsidP="00965F28">
            <w:pPr>
              <w:jc w:val="center"/>
            </w:pPr>
          </w:p>
        </w:tc>
      </w:tr>
      <w:tr w:rsidR="000B7E29" w14:paraId="761E464A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1FFA2837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AE57868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910FD" w14:textId="77777777" w:rsidR="000B7E29" w:rsidRPr="00C47B50" w:rsidRDefault="000B7E29" w:rsidP="0055265E">
            <w:r w:rsidRPr="00640EF6">
              <w:t>finansowanie działalności w zakresie produkcji lub wprowadzania</w:t>
            </w:r>
            <w:r>
              <w:t xml:space="preserve"> do obrotu napojów alkoholowych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D8044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EA00C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EC334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3695F" w14:textId="77777777" w:rsidR="000B7E29" w:rsidRDefault="000B7E29" w:rsidP="00965F28">
            <w:pPr>
              <w:jc w:val="center"/>
            </w:pPr>
          </w:p>
        </w:tc>
      </w:tr>
      <w:tr w:rsidR="000B7E29" w14:paraId="19495CCB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027B6A7D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3B0FC93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671F7" w14:textId="77777777" w:rsidR="000B7E29" w:rsidRPr="00C47B50" w:rsidRDefault="000B7E29" w:rsidP="0055265E">
            <w:r w:rsidRPr="00640EF6">
              <w:t>finansowanie działalności w zakresie produkcji lub wprowadzania do</w:t>
            </w:r>
            <w:r>
              <w:t xml:space="preserve"> obrotu treści pornograficznych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EE40E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F9FF6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88705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09ED0" w14:textId="77777777" w:rsidR="000B7E29" w:rsidRDefault="000B7E29" w:rsidP="00965F28">
            <w:pPr>
              <w:jc w:val="center"/>
            </w:pPr>
          </w:p>
        </w:tc>
      </w:tr>
      <w:tr w:rsidR="000B7E29" w14:paraId="08E22DB4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2E79994F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9FB4312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B514" w14:textId="77777777" w:rsidR="000B7E29" w:rsidRPr="00C47B50" w:rsidRDefault="000B7E29" w:rsidP="0055265E">
            <w:r w:rsidRPr="00640EF6">
              <w:t xml:space="preserve">finansowanie  działalności  w  zakresie  obrotu  materiałami  </w:t>
            </w:r>
            <w:r>
              <w:t>wybuchowymi,  bronią i amunicją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761D6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1109B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6D72F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A0DDA" w14:textId="77777777" w:rsidR="000B7E29" w:rsidRDefault="000B7E29" w:rsidP="00965F28">
            <w:pPr>
              <w:jc w:val="center"/>
            </w:pPr>
          </w:p>
        </w:tc>
      </w:tr>
      <w:tr w:rsidR="006005F4" w14:paraId="39C5F981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68000D22" w14:textId="77777777" w:rsidR="006005F4" w:rsidRDefault="006005F4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504BAC6" w14:textId="77777777" w:rsidR="006005F4" w:rsidRPr="007151BA" w:rsidRDefault="006005F4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E2D94" w14:textId="77777777" w:rsidR="006005F4" w:rsidRPr="00640EF6" w:rsidRDefault="006005F4" w:rsidP="0055265E">
            <w:r w:rsidRPr="006005F4">
              <w:rPr>
                <w:rFonts w:ascii="Calibri" w:eastAsia="Calibri" w:hAnsi="Calibri" w:cs="Times New Roman"/>
              </w:rPr>
              <w:t>finansowania działalności w zakresie gier losowych, zakładów wzajemnych, gier na automatach i gier na automatach o niskich wygranych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72C9A" w14:textId="77777777" w:rsidR="006005F4" w:rsidRDefault="006005F4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705BD" w14:textId="77777777" w:rsidR="006005F4" w:rsidRDefault="006005F4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3D0EA" w14:textId="77777777" w:rsidR="006005F4" w:rsidRDefault="006005F4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2961E" w14:textId="77777777" w:rsidR="006005F4" w:rsidRDefault="006005F4" w:rsidP="00965F28">
            <w:pPr>
              <w:jc w:val="center"/>
            </w:pPr>
          </w:p>
        </w:tc>
      </w:tr>
      <w:tr w:rsidR="000B7E29" w14:paraId="3F97FE37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B01A665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9597D69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CDD6A" w14:textId="77777777" w:rsidR="000B7E29" w:rsidRPr="00C47B50" w:rsidRDefault="000B7E29" w:rsidP="0055265E">
            <w:r w:rsidRPr="00640EF6">
              <w:t xml:space="preserve">finansowanie działalności w zakresie produkcji lub wprowadzania do obrotu środków odurzających, substancji </w:t>
            </w:r>
            <w:r>
              <w:t>psychotropowych lub prekursorów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71528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37DB8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ABBAF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F91F" w14:textId="77777777" w:rsidR="000B7E29" w:rsidRDefault="000B7E29" w:rsidP="00965F28">
            <w:pPr>
              <w:jc w:val="center"/>
            </w:pPr>
          </w:p>
        </w:tc>
      </w:tr>
      <w:tr w:rsidR="000B7E29" w14:paraId="053107E4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450069A8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BE23E87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59B7B" w14:textId="77777777" w:rsidR="000B7E29" w:rsidRPr="00C47B50" w:rsidRDefault="000B7E29" w:rsidP="0055265E">
            <w:r w:rsidRPr="003974AB">
              <w:t xml:space="preserve">finansowanie likwidacji ani budowy elektrowni </w:t>
            </w:r>
            <w:r>
              <w:t>jądrowych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AA0BE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55199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81361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C3DF1" w14:textId="77777777" w:rsidR="000B7E29" w:rsidRDefault="000B7E29" w:rsidP="00965F28">
            <w:pPr>
              <w:jc w:val="center"/>
            </w:pPr>
          </w:p>
        </w:tc>
      </w:tr>
      <w:tr w:rsidR="000B7E29" w14:paraId="6F4C22FE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4508784A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0FB8D24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28B3F" w14:textId="77777777" w:rsidR="000B7E29" w:rsidRPr="00C47B50" w:rsidRDefault="000B7E29" w:rsidP="0055265E">
            <w:r w:rsidRPr="003974AB">
              <w:t>finansowanie  inwestycji  na  rzecz  redukcji  emisji gazów cieplarnianych pochodzących z listy działań wymienionych w załąc</w:t>
            </w:r>
            <w:r>
              <w:t>zniku I do dyrektywy 2003/87/WE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4E2C0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BCB20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C4944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389D9" w14:textId="77777777" w:rsidR="000B7E29" w:rsidRDefault="000B7E29" w:rsidP="00965F28">
            <w:pPr>
              <w:jc w:val="center"/>
            </w:pPr>
          </w:p>
        </w:tc>
      </w:tr>
      <w:tr w:rsidR="006005F4" w14:paraId="05A2FF93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56E77052" w14:textId="77777777" w:rsidR="006005F4" w:rsidRDefault="006005F4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7CCD1FC" w14:textId="77777777" w:rsidR="006005F4" w:rsidRPr="007151BA" w:rsidRDefault="006005F4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05C01" w14:textId="77777777" w:rsidR="006005F4" w:rsidRPr="003974AB" w:rsidRDefault="006005F4" w:rsidP="0055265E">
            <w:r w:rsidRPr="006005F4">
              <w:rPr>
                <w:rFonts w:ascii="Calibri" w:eastAsia="Calibri" w:hAnsi="Calibri" w:cs="Times New Roman"/>
              </w:rPr>
              <w:t>finansowanie działalności w zakresie wytwarzania, przetwórstwa lub wprowadzania do obrotu tytoniu i wyrobów tytoniowych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679B1" w14:textId="77777777" w:rsidR="006005F4" w:rsidRDefault="006005F4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4149" w14:textId="77777777" w:rsidR="006005F4" w:rsidRDefault="006005F4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05A06" w14:textId="77777777" w:rsidR="006005F4" w:rsidRDefault="006005F4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A5D1E" w14:textId="77777777" w:rsidR="006005F4" w:rsidRDefault="006005F4" w:rsidP="00965F28">
            <w:pPr>
              <w:jc w:val="center"/>
            </w:pPr>
          </w:p>
        </w:tc>
      </w:tr>
      <w:tr w:rsidR="000B7E29" w14:paraId="2236013D" w14:textId="77777777" w:rsidTr="00442517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59335C4E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26900A0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9BE03" w14:textId="77777777" w:rsidR="000B7E29" w:rsidRPr="00C47B50" w:rsidRDefault="000B7E29" w:rsidP="0055265E">
            <w:r w:rsidRPr="003974AB">
              <w:t>finansowanie przedsiębiorstw w trudnej sytuacji w rozumieniu unijnych przepisów dotyczącyc</w:t>
            </w:r>
            <w:r>
              <w:t>h pomocy państwa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B424B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B22D8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48C03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C3D3D" w14:textId="77777777" w:rsidR="000B7E29" w:rsidRDefault="000B7E29" w:rsidP="00965F28">
            <w:pPr>
              <w:jc w:val="center"/>
            </w:pPr>
          </w:p>
        </w:tc>
      </w:tr>
      <w:tr w:rsidR="000B7E29" w14:paraId="64A0874F" w14:textId="77777777" w:rsidTr="00442517">
        <w:trPr>
          <w:trHeight w:val="56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0CDA3DDB" w14:textId="77777777" w:rsidR="000B7E29" w:rsidRDefault="000B7E29" w:rsidP="00965F28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B83B2FB" w14:textId="77777777" w:rsidR="000B7E29" w:rsidRPr="007151BA" w:rsidRDefault="000B7E2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61867" w14:textId="77777777" w:rsidR="000B7E29" w:rsidRDefault="000B7E29" w:rsidP="0055265E">
            <w:r w:rsidRPr="003974AB">
              <w:t>finansowanie inwestycji w infrastrukturę portów lotniczych, chyba, że są one związane z ochroną środowiska lub towarzyszą im inwestycje niezbędne do łagodzenia lub ograniczenia ich negatywn</w:t>
            </w:r>
            <w:r>
              <w:t>ego oddziaływania na środowisko</w:t>
            </w:r>
          </w:p>
          <w:p w14:paraId="2B9323BA" w14:textId="77777777" w:rsidR="000B7E29" w:rsidRPr="00C47B50" w:rsidRDefault="000B7E29" w:rsidP="0055265E"/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E573C" w14:textId="77777777" w:rsidR="000B7E29" w:rsidRDefault="000B7E2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56944" w14:textId="77777777" w:rsidR="000B7E29" w:rsidRDefault="000B7E2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4590E" w14:textId="77777777" w:rsidR="000B7E29" w:rsidRDefault="000B7E2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93199" w14:textId="77777777" w:rsidR="000B7E29" w:rsidRDefault="000B7E29" w:rsidP="00965F28">
            <w:pPr>
              <w:jc w:val="center"/>
            </w:pPr>
          </w:p>
        </w:tc>
      </w:tr>
      <w:tr w:rsidR="003974AB" w14:paraId="4B1AAB8A" w14:textId="77777777" w:rsidTr="003974AB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BB89" w14:textId="77777777" w:rsidR="003974AB" w:rsidRDefault="003974AB" w:rsidP="00965F2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E6ECE" w14:textId="77777777" w:rsidR="003974AB" w:rsidRPr="007151BA" w:rsidRDefault="003974AB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DAE60" w14:textId="77777777" w:rsidR="003974AB" w:rsidRPr="00C47B50" w:rsidRDefault="000B7E29" w:rsidP="0055265E">
            <w:r>
              <w:t>f</w:t>
            </w:r>
            <w:r w:rsidRPr="000B7E29">
              <w:t>inansowanie zakupu gruntów niezabudowanych i zabudowanych w ramach finansowanej inwestycji możliwe jest do wysokości 10% środków wypłaconych</w:t>
            </w:r>
            <w:r>
              <w:t xml:space="preserve"> na rzecz Ostatecznego Odbiorcy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7750A" w14:textId="77777777" w:rsidR="003974AB" w:rsidRDefault="003974AB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1C425" w14:textId="77777777" w:rsidR="003974AB" w:rsidRDefault="003974AB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8C2C" w14:textId="77777777" w:rsidR="003974AB" w:rsidRDefault="003974AB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42775" w14:textId="77777777" w:rsidR="003974AB" w:rsidRDefault="003974AB" w:rsidP="00965F28">
            <w:pPr>
              <w:jc w:val="center"/>
            </w:pPr>
          </w:p>
        </w:tc>
      </w:tr>
      <w:tr w:rsidR="00FC12A7" w14:paraId="2D8830E8" w14:textId="77777777" w:rsidTr="00FC12A7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3A685" w14:textId="77777777" w:rsidR="00FC12A7" w:rsidRPr="00FC12A7" w:rsidRDefault="00FC12A7" w:rsidP="00FC12A7">
            <w:pPr>
              <w:rPr>
                <w:b/>
              </w:rPr>
            </w:pPr>
            <w:r w:rsidRPr="00FC12A7">
              <w:rPr>
                <w:b/>
              </w:rPr>
              <w:t xml:space="preserve">V. Realizowany projekt znajduje się w Obszarze Interwencji Strategicznej (OSI) zgodnie z klasyfikacją stanowiącą Załącznik nr 3 do Regulaminu </w:t>
            </w:r>
            <w:proofErr w:type="spellStart"/>
            <w:r w:rsidRPr="00FC12A7">
              <w:rPr>
                <w:b/>
              </w:rPr>
              <w:t>PIzP</w:t>
            </w:r>
            <w:proofErr w:type="spellEnd"/>
          </w:p>
        </w:tc>
      </w:tr>
      <w:tr w:rsidR="00A853F3" w14:paraId="68C6E967" w14:textId="77777777" w:rsidTr="00397240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5CC90008" w14:textId="77777777" w:rsidR="00A853F3" w:rsidRDefault="00A853F3" w:rsidP="00965F28">
            <w:pPr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6132540" w14:textId="77777777" w:rsidR="00A853F3" w:rsidRPr="007151BA" w:rsidRDefault="00A853F3" w:rsidP="0055265E">
            <w:r w:rsidRPr="00A853F3">
              <w:t>Obszary Interwencji Strategicznej (OSI)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8C2C5" w14:textId="77777777" w:rsidR="00A853F3" w:rsidRPr="00C47B50" w:rsidRDefault="00A853F3" w:rsidP="0055265E">
            <w:r w:rsidRPr="00A853F3">
              <w:t>obszary peryferyzacji społeczno-gospodarczej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4D415" w14:textId="77777777" w:rsidR="00A853F3" w:rsidRDefault="00A853F3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925A3" w14:textId="77777777" w:rsidR="00A853F3" w:rsidRDefault="00A853F3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5A94B" w14:textId="77777777" w:rsidR="00A853F3" w:rsidRDefault="00A853F3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C7C3C" w14:textId="77777777" w:rsidR="00A853F3" w:rsidRDefault="00A853F3" w:rsidP="00965F28">
            <w:pPr>
              <w:jc w:val="center"/>
            </w:pPr>
          </w:p>
        </w:tc>
      </w:tr>
      <w:tr w:rsidR="00A853F3" w14:paraId="57CD945E" w14:textId="77777777" w:rsidTr="00397240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31F50BEE" w14:textId="77777777" w:rsidR="00A853F3" w:rsidRDefault="00A853F3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0D77870" w14:textId="77777777" w:rsidR="00A853F3" w:rsidRPr="007151BA" w:rsidRDefault="00A853F3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42567" w14:textId="77777777" w:rsidR="00A853F3" w:rsidRPr="00C47B50" w:rsidRDefault="00A853F3" w:rsidP="0055265E">
            <w:r w:rsidRPr="00A853F3">
              <w:t>obszary o słabym dostępie do usług publicznych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832F" w14:textId="77777777" w:rsidR="00A853F3" w:rsidRDefault="00A853F3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486B4" w14:textId="77777777" w:rsidR="00A853F3" w:rsidRDefault="00A853F3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07F0F" w14:textId="77777777" w:rsidR="00A853F3" w:rsidRDefault="00A853F3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729DB" w14:textId="77777777" w:rsidR="00A853F3" w:rsidRDefault="00A853F3" w:rsidP="00965F28">
            <w:pPr>
              <w:jc w:val="center"/>
            </w:pPr>
          </w:p>
        </w:tc>
      </w:tr>
      <w:tr w:rsidR="00A853F3" w14:paraId="30DA37DC" w14:textId="77777777" w:rsidTr="00397240">
        <w:trPr>
          <w:trHeight w:val="56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04C1C3E0" w14:textId="77777777" w:rsidR="00A853F3" w:rsidRDefault="00A853F3" w:rsidP="00965F28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884272B" w14:textId="77777777" w:rsidR="00A853F3" w:rsidRPr="007151BA" w:rsidRDefault="00A853F3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5857" w14:textId="77777777" w:rsidR="00A853F3" w:rsidRPr="00C47B50" w:rsidRDefault="00A853F3" w:rsidP="0055265E">
            <w:r w:rsidRPr="00A853F3">
              <w:t>obszary przygraniczne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CD287" w14:textId="77777777" w:rsidR="00A853F3" w:rsidRDefault="00A853F3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5657A" w14:textId="77777777" w:rsidR="00A853F3" w:rsidRDefault="00A853F3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2CA65" w14:textId="77777777" w:rsidR="00A853F3" w:rsidRDefault="00A853F3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4CB3" w14:textId="77777777" w:rsidR="00A853F3" w:rsidRDefault="00A853F3" w:rsidP="00965F28">
            <w:pPr>
              <w:jc w:val="center"/>
            </w:pPr>
          </w:p>
        </w:tc>
      </w:tr>
      <w:tr w:rsidR="00547188" w14:paraId="4435C400" w14:textId="77777777" w:rsidTr="00547188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DBBAD" w14:textId="77777777" w:rsidR="00547188" w:rsidRPr="00547188" w:rsidRDefault="00547188" w:rsidP="00547188">
            <w:pPr>
              <w:rPr>
                <w:b/>
              </w:rPr>
            </w:pPr>
            <w:r w:rsidRPr="00547188">
              <w:rPr>
                <w:b/>
              </w:rPr>
              <w:t xml:space="preserve">VI. Realizowany projekt wpisuje się w Inteligentne Specjalizacje zgodnie z klasyfikacją stanowiącą Załącznik nr 5 do Regulaminu </w:t>
            </w:r>
            <w:proofErr w:type="spellStart"/>
            <w:r w:rsidRPr="00547188">
              <w:rPr>
                <w:b/>
              </w:rPr>
              <w:t>PIzP</w:t>
            </w:r>
            <w:proofErr w:type="spellEnd"/>
          </w:p>
        </w:tc>
      </w:tr>
      <w:tr w:rsidR="00AE1287" w14:paraId="3AE46563" w14:textId="77777777" w:rsidTr="006005F4">
        <w:trPr>
          <w:trHeight w:val="4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5DACF9E8" w14:textId="77777777" w:rsidR="00AE1287" w:rsidRDefault="00AE1287" w:rsidP="00965F28">
            <w:pPr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FFC252D" w14:textId="77777777" w:rsidR="00AE1287" w:rsidRPr="007151BA" w:rsidRDefault="00AE1287" w:rsidP="0055265E">
            <w:r w:rsidRPr="00AE1287">
              <w:t>Inteligentne Specjalizacje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B1EC5" w14:textId="77777777" w:rsidR="00AE1287" w:rsidRPr="00C47B50" w:rsidRDefault="00AE1287" w:rsidP="0055265E">
            <w:r w:rsidRPr="00AE1287">
              <w:t>drewno i meblarstwo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822DC" w14:textId="77777777" w:rsidR="00AE1287" w:rsidRDefault="00AE1287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E5413" w14:textId="77777777" w:rsidR="00AE1287" w:rsidRDefault="00AE1287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C2402" w14:textId="77777777" w:rsidR="00AE1287" w:rsidRDefault="00AE1287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4908" w14:textId="77777777" w:rsidR="00AE1287" w:rsidRDefault="00AE1287" w:rsidP="00965F28">
            <w:pPr>
              <w:jc w:val="center"/>
            </w:pPr>
          </w:p>
        </w:tc>
      </w:tr>
      <w:tr w:rsidR="00AE1287" w14:paraId="06C829BE" w14:textId="77777777" w:rsidTr="006005F4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14:paraId="67126A9E" w14:textId="77777777" w:rsidR="00AE1287" w:rsidRDefault="00AE1287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8911F91" w14:textId="77777777" w:rsidR="00AE1287" w:rsidRPr="007151BA" w:rsidRDefault="00AE12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4D44C" w14:textId="77777777" w:rsidR="00AE1287" w:rsidRPr="00C47B50" w:rsidRDefault="00AE1287" w:rsidP="0055265E">
            <w:r w:rsidRPr="00AE1287">
              <w:t>żywność wysokiej jakości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11A2F" w14:textId="77777777" w:rsidR="00AE1287" w:rsidRDefault="00AE1287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66E37" w14:textId="77777777" w:rsidR="00AE1287" w:rsidRDefault="00AE1287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F2F76" w14:textId="77777777" w:rsidR="00AE1287" w:rsidRDefault="00AE1287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CA8E5" w14:textId="77777777" w:rsidR="00AE1287" w:rsidRDefault="00AE1287" w:rsidP="00965F28">
            <w:pPr>
              <w:jc w:val="center"/>
            </w:pPr>
          </w:p>
        </w:tc>
      </w:tr>
      <w:tr w:rsidR="00AE1287" w14:paraId="05CA4D87" w14:textId="77777777" w:rsidTr="006005F4">
        <w:trPr>
          <w:trHeight w:val="43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47F61B9D" w14:textId="77777777" w:rsidR="00AE1287" w:rsidRDefault="00AE1287" w:rsidP="00965F28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78E3BB6" w14:textId="77777777" w:rsidR="00AE1287" w:rsidRPr="007151BA" w:rsidRDefault="00AE12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A19D" w14:textId="77777777" w:rsidR="00AE1287" w:rsidRPr="00C47B50" w:rsidRDefault="00AE1287" w:rsidP="0055265E">
            <w:r w:rsidRPr="00AE1287">
              <w:t>ekonomia wody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5DE7A" w14:textId="77777777" w:rsidR="00AE1287" w:rsidRDefault="00AE1287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4AB03" w14:textId="77777777" w:rsidR="00AE1287" w:rsidRDefault="00AE1287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170E0" w14:textId="77777777" w:rsidR="00AE1287" w:rsidRDefault="00AE1287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1299" w14:textId="77777777" w:rsidR="00AE1287" w:rsidRDefault="00AE1287" w:rsidP="00965F28">
            <w:pPr>
              <w:jc w:val="center"/>
            </w:pPr>
          </w:p>
        </w:tc>
      </w:tr>
      <w:tr w:rsidR="00A1301A" w14:paraId="635FD22E" w14:textId="77777777" w:rsidTr="00621B62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3D0CF4A2" w14:textId="77777777" w:rsidR="00A1301A" w:rsidRDefault="00A1301A" w:rsidP="00965F28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511B45B" w14:textId="77777777" w:rsidR="00A1301A" w:rsidRPr="007151BA" w:rsidRDefault="00A1301A" w:rsidP="0055265E">
            <w:r w:rsidRPr="00A20D02">
              <w:t>Projekt spełnia następujące warunki kwalifikacji do inteligentnych specjalizacji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0E82B" w14:textId="77777777" w:rsidR="00A1301A" w:rsidRPr="00C47B50" w:rsidRDefault="00A1301A" w:rsidP="0055265E">
            <w:r w:rsidRPr="00A20D02">
              <w:t>wpływ na eliminowanie negatywnego wpływu zagrożeń i/lub wpływ na wykorzystanie szans zdiagnozowanych w analizie SWOT* dla dan</w:t>
            </w:r>
            <w:r>
              <w:t>ej inteligentnej specjalizacji.</w:t>
            </w:r>
            <w:r>
              <w:br/>
            </w:r>
            <w:r>
              <w:br/>
            </w:r>
            <w:r w:rsidRPr="00A20D02">
              <w:rPr>
                <w:i/>
                <w:sz w:val="20"/>
                <w:szCs w:val="20"/>
              </w:rPr>
              <w:t>*Analizy SWOT dla poszczególnych specjalizacji ujęte są w raportach z Badania potencjału innowacyjnego i rozwojowego przedsiębiorstw funkcjonujących w ramach inteligentnych specjalizacji województwa warmińsko-mazurskiego dostępnych na stronie www.ris.warmia.mazury.pl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77CAE" w14:textId="77777777" w:rsidR="00A1301A" w:rsidRDefault="00A1301A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70EDB" w14:textId="77777777" w:rsidR="00A1301A" w:rsidRDefault="00A1301A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1CAD6" w14:textId="77777777" w:rsidR="00A1301A" w:rsidRDefault="00A1301A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F676F" w14:textId="77777777" w:rsidR="00A1301A" w:rsidRDefault="00A1301A" w:rsidP="00965F28">
            <w:pPr>
              <w:jc w:val="center"/>
            </w:pPr>
          </w:p>
        </w:tc>
      </w:tr>
      <w:tr w:rsidR="00A1301A" w14:paraId="723DF9A6" w14:textId="77777777" w:rsidTr="00621B6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6E0F2C23" w14:textId="77777777" w:rsidR="00A1301A" w:rsidRDefault="00A1301A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71D3D77" w14:textId="77777777" w:rsidR="00A1301A" w:rsidRPr="007151BA" w:rsidRDefault="00A1301A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BD6B9" w14:textId="77777777" w:rsidR="00A1301A" w:rsidRPr="00C47B50" w:rsidRDefault="00A1301A" w:rsidP="0055265E">
            <w:r w:rsidRPr="00A1301A">
              <w:t>wpływ na wzmocnienie silnych stron i/lub eliminację słabych stron zdiagnozowanych w analizie SWOT dla danej inteligentnej specjalizacji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93E8B" w14:textId="77777777" w:rsidR="00A1301A" w:rsidRDefault="00A1301A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10AF9" w14:textId="77777777" w:rsidR="00A1301A" w:rsidRDefault="00A1301A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EE04E" w14:textId="77777777" w:rsidR="00A1301A" w:rsidRDefault="00A1301A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FE5C1" w14:textId="77777777" w:rsidR="00A1301A" w:rsidRDefault="00A1301A" w:rsidP="00965F28">
            <w:pPr>
              <w:jc w:val="center"/>
            </w:pPr>
          </w:p>
        </w:tc>
      </w:tr>
      <w:tr w:rsidR="00A1301A" w14:paraId="5CBB151C" w14:textId="77777777" w:rsidTr="00621B6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4E9F3BA8" w14:textId="77777777" w:rsidR="00A1301A" w:rsidRDefault="00A1301A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DC07AAA" w14:textId="77777777" w:rsidR="00A1301A" w:rsidRPr="007151BA" w:rsidRDefault="00A1301A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EB568" w14:textId="77777777" w:rsidR="00A1301A" w:rsidRPr="00C47B50" w:rsidRDefault="00A1301A" w:rsidP="0055265E">
            <w:r w:rsidRPr="00A1301A">
              <w:t>dyfuzję wyników projektu na więcej niż jeden podmiot działający w obszarze danej inteligentnej specjalizacji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234F7" w14:textId="77777777" w:rsidR="00A1301A" w:rsidRDefault="00A1301A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6CE02" w14:textId="77777777" w:rsidR="00A1301A" w:rsidRDefault="00A1301A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9FA3E" w14:textId="77777777" w:rsidR="00A1301A" w:rsidRDefault="00A1301A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1FC5B" w14:textId="77777777" w:rsidR="00A1301A" w:rsidRDefault="00A1301A" w:rsidP="00965F28">
            <w:pPr>
              <w:jc w:val="center"/>
            </w:pPr>
          </w:p>
        </w:tc>
      </w:tr>
      <w:tr w:rsidR="00A1301A" w14:paraId="08AF81DC" w14:textId="77777777" w:rsidTr="00621B62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1025BC4D" w14:textId="77777777" w:rsidR="00A1301A" w:rsidRDefault="00A1301A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2B58362" w14:textId="77777777" w:rsidR="00A1301A" w:rsidRPr="007151BA" w:rsidRDefault="00A1301A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DFCEC" w14:textId="77777777" w:rsidR="00A1301A" w:rsidRPr="00C47B50" w:rsidRDefault="00A1301A" w:rsidP="0055265E">
            <w:r w:rsidRPr="00A1301A">
              <w:t>stworzenie w wyniku projektu możliwości eksportowych w ramach danej specjalizacji i/lub generowanie potencjalnego wzrostu współpracy w europejskich łańcuchach wartości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CDE05" w14:textId="77777777" w:rsidR="00A1301A" w:rsidRDefault="00A1301A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E626D" w14:textId="77777777" w:rsidR="00A1301A" w:rsidRDefault="00A1301A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2A5C6" w14:textId="77777777" w:rsidR="00A1301A" w:rsidRDefault="00A1301A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E5CEB" w14:textId="77777777" w:rsidR="00A1301A" w:rsidRDefault="00A1301A" w:rsidP="00965F28">
            <w:pPr>
              <w:jc w:val="center"/>
            </w:pPr>
          </w:p>
        </w:tc>
      </w:tr>
      <w:tr w:rsidR="00A1301A" w14:paraId="1D39CD43" w14:textId="77777777" w:rsidTr="006005F4">
        <w:trPr>
          <w:trHeight w:val="86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0158A45" w14:textId="77777777" w:rsidR="00A1301A" w:rsidRDefault="00A1301A" w:rsidP="00965F28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5665F7E" w14:textId="77777777" w:rsidR="00A1301A" w:rsidRPr="007151BA" w:rsidRDefault="00A1301A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A4A3A" w14:textId="77777777" w:rsidR="00A1301A" w:rsidRDefault="00A1301A" w:rsidP="0055265E">
            <w:r w:rsidRPr="00A1301A">
              <w:t>wpływ na kreowanie współpracy pomiędzy środowiskiem naukowym, biznesowym, otoczeniem biznesu, administracją w obrębie co najmniej jednej specjalizacji w wyniku realizacji projektu</w:t>
            </w:r>
          </w:p>
          <w:p w14:paraId="3FAE6AA9" w14:textId="77777777" w:rsidR="00A1301A" w:rsidRPr="00C47B50" w:rsidRDefault="00A1301A" w:rsidP="0055265E"/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EBC33" w14:textId="77777777" w:rsidR="00A1301A" w:rsidRDefault="00A1301A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6AC18" w14:textId="77777777" w:rsidR="00A1301A" w:rsidRDefault="00A1301A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4FE12" w14:textId="77777777" w:rsidR="00A1301A" w:rsidRDefault="00A1301A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3BAFF" w14:textId="77777777" w:rsidR="00A1301A" w:rsidRDefault="00A1301A" w:rsidP="00965F28">
            <w:pPr>
              <w:jc w:val="center"/>
            </w:pPr>
          </w:p>
        </w:tc>
      </w:tr>
      <w:tr w:rsidR="005B4E78" w14:paraId="67231FF9" w14:textId="77777777" w:rsidTr="005B4E78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44A4C" w14:textId="77777777" w:rsidR="005B4E78" w:rsidRPr="005B4E78" w:rsidRDefault="005B4E78" w:rsidP="005B4E78">
            <w:pPr>
              <w:rPr>
                <w:b/>
              </w:rPr>
            </w:pPr>
            <w:r w:rsidRPr="005B4E78">
              <w:rPr>
                <w:b/>
              </w:rPr>
              <w:t>VII. Realizowany projekt spełnia kryteria uprawniające do subsydiowania odsetek</w:t>
            </w:r>
          </w:p>
        </w:tc>
      </w:tr>
      <w:tr w:rsidR="005971D0" w14:paraId="3380E2CB" w14:textId="77777777" w:rsidTr="005971D0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14:paraId="498E6F8B" w14:textId="77777777" w:rsidR="005971D0" w:rsidRDefault="005971D0" w:rsidP="005971D0">
            <w:pPr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85A0A66" w14:textId="77777777" w:rsidR="005971D0" w:rsidRPr="007151BA" w:rsidRDefault="005971D0" w:rsidP="005971D0">
            <w:r w:rsidRPr="003F71A9">
              <w:t>Kryteria uprawniające do subsydiowania odsetek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DE244" w14:textId="77777777" w:rsidR="005971D0" w:rsidRDefault="005971D0" w:rsidP="003F71A9">
            <w:r>
              <w:t>Inwestycja przyczynia się do tworzenia trwałych miejsc pracy – stworzenie i utrzymanie nowych miejsc pracy przez okres 12 miesięcy (weryfikacja na podstawie ZUS DRA oraz umów o pracę; wzrost liczony w stosunku do średniego zatrudnienia z ostatnich 12 miesięcy). Dla uznania spełnienia tego kryterium wymaga się wzrost zatrudnienia:</w:t>
            </w:r>
            <w:r>
              <w:br/>
            </w:r>
          </w:p>
          <w:p w14:paraId="13EE243F" w14:textId="77777777" w:rsidR="005971D0" w:rsidRDefault="005971D0" w:rsidP="003F71A9">
            <w:r>
              <w:t>- o 1 pełny etat dla pożyczek ≤ 200 000 zł</w:t>
            </w:r>
            <w:r>
              <w:br/>
            </w:r>
          </w:p>
          <w:p w14:paraId="31F13AB0" w14:textId="77777777" w:rsidR="005971D0" w:rsidRDefault="005971D0" w:rsidP="003F71A9">
            <w:r>
              <w:t>- o 2 pełne etaty dla pożyczek &gt; 200 000 zł ≤ 500 000 zł</w:t>
            </w:r>
            <w:r>
              <w:br/>
            </w:r>
          </w:p>
          <w:p w14:paraId="0E653574" w14:textId="77777777" w:rsidR="005971D0" w:rsidRDefault="005971D0" w:rsidP="003F71A9">
            <w:r>
              <w:t>- o 3 pełne etaty dla pożyczek &gt; 500 000 zł</w:t>
            </w:r>
          </w:p>
          <w:p w14:paraId="5BC04981" w14:textId="77777777" w:rsidR="005971D0" w:rsidRDefault="005971D0" w:rsidP="003F71A9">
            <w:r>
              <w:br/>
              <w:t>Realizacja warunku wzrostu zatrudnienia w okresie 12 miesięcy (Ostateczny Odbiorca zobowiązany jest określić termin osiągnięcia wskaźnika, przy czym wskaźnik ten musi zostać osiągnięty najpóźniej w ciągu 24 miesięcy od Zawarcia Umowy Pożyczki Inwestycyjnej z Premią)</w:t>
            </w:r>
          </w:p>
          <w:p w14:paraId="7AD0B3B3" w14:textId="77777777" w:rsidR="006005F4" w:rsidRPr="00C47B50" w:rsidRDefault="006005F4" w:rsidP="003F71A9"/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D210" w14:textId="77777777" w:rsidR="005971D0" w:rsidRDefault="005971D0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98959" w14:textId="77777777" w:rsidR="005971D0" w:rsidRDefault="005971D0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71DDB" w14:textId="77777777" w:rsidR="005971D0" w:rsidRDefault="005971D0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14494" w14:textId="77777777" w:rsidR="005971D0" w:rsidRDefault="005971D0" w:rsidP="00965F28">
            <w:pPr>
              <w:jc w:val="center"/>
            </w:pPr>
          </w:p>
        </w:tc>
      </w:tr>
      <w:tr w:rsidR="005971D0" w14:paraId="4C51B400" w14:textId="77777777" w:rsidTr="00D42119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2895757" w14:textId="77777777" w:rsidR="005971D0" w:rsidRDefault="005971D0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9E89D64" w14:textId="77777777" w:rsidR="005971D0" w:rsidRPr="007151BA" w:rsidRDefault="005971D0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AD7AE" w14:textId="77777777" w:rsidR="005971D0" w:rsidRDefault="005971D0" w:rsidP="0055265E">
            <w:r w:rsidRPr="00531387">
              <w:t>Wnioskodawca przedstawił opinię wyspecjalizowanej jednostki potwierdzającą, że projekt przyczyni się do oszczędności surowców i energii oraz ograniczenia emisji szkodliwych gazów do środowiska</w:t>
            </w:r>
          </w:p>
          <w:p w14:paraId="4B60D33A" w14:textId="77777777" w:rsidR="006005F4" w:rsidRPr="00C47B50" w:rsidRDefault="006005F4" w:rsidP="0055265E"/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42791" w14:textId="77777777" w:rsidR="005971D0" w:rsidRDefault="005971D0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EDB2A" w14:textId="77777777" w:rsidR="005971D0" w:rsidRDefault="005971D0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AACE7" w14:textId="77777777" w:rsidR="005971D0" w:rsidRDefault="005971D0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8012C" w14:textId="77777777" w:rsidR="005971D0" w:rsidRDefault="005971D0" w:rsidP="00965F28">
            <w:pPr>
              <w:jc w:val="center"/>
            </w:pPr>
          </w:p>
        </w:tc>
      </w:tr>
      <w:tr w:rsidR="005971D0" w14:paraId="40B1EA55" w14:textId="77777777" w:rsidTr="00D42119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573349F" w14:textId="77777777" w:rsidR="005971D0" w:rsidRDefault="005971D0" w:rsidP="00965F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FB6A2AF" w14:textId="77777777" w:rsidR="005971D0" w:rsidRPr="007151BA" w:rsidRDefault="005971D0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BF534" w14:textId="77777777" w:rsidR="005971D0" w:rsidRDefault="005971D0" w:rsidP="0055265E">
            <w:r w:rsidRPr="00531387">
              <w:t xml:space="preserve">Inwestycja jest realizowana na obszarach o  niskim  poziomie  aktywności gospodarczej – wykaz obszarów stanowi Załącznik nr 6 do Regulaminu </w:t>
            </w:r>
            <w:proofErr w:type="spellStart"/>
            <w:r w:rsidRPr="00531387">
              <w:t>PIzP</w:t>
            </w:r>
            <w:proofErr w:type="spellEnd"/>
          </w:p>
          <w:p w14:paraId="204ABFBB" w14:textId="77777777" w:rsidR="006005F4" w:rsidRPr="00C47B50" w:rsidRDefault="006005F4" w:rsidP="0055265E"/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3BE0" w14:textId="77777777" w:rsidR="005971D0" w:rsidRDefault="005971D0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80381" w14:textId="77777777" w:rsidR="005971D0" w:rsidRDefault="005971D0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B1A8A" w14:textId="77777777" w:rsidR="005971D0" w:rsidRDefault="005971D0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6268E" w14:textId="77777777" w:rsidR="005971D0" w:rsidRDefault="005971D0" w:rsidP="00965F28">
            <w:pPr>
              <w:jc w:val="center"/>
            </w:pPr>
          </w:p>
        </w:tc>
      </w:tr>
      <w:tr w:rsidR="005971D0" w14:paraId="2BF01B88" w14:textId="77777777" w:rsidTr="006005F4">
        <w:trPr>
          <w:trHeight w:val="725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04778311" w14:textId="77777777" w:rsidR="005971D0" w:rsidRDefault="005971D0" w:rsidP="00965F28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7EBE1E3" w14:textId="77777777" w:rsidR="005971D0" w:rsidRPr="007151BA" w:rsidRDefault="005971D0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5C2F1" w14:textId="77777777" w:rsidR="005971D0" w:rsidRDefault="005971D0" w:rsidP="0055265E">
            <w:r w:rsidRPr="00531387">
              <w:t xml:space="preserve">Inwestycja jest realizowana na obszarze o wysokiej stopie bezrobocia (klasyfikacja obszarów według poziomu stopy bezrobocia województwa warmińsko-mazurskiego zgodnie z Załącznikiem nr 4 do Regulaminu </w:t>
            </w:r>
            <w:proofErr w:type="spellStart"/>
            <w:r w:rsidRPr="00531387">
              <w:t>PIzP</w:t>
            </w:r>
            <w:proofErr w:type="spellEnd"/>
            <w:r w:rsidRPr="00531387">
              <w:t xml:space="preserve">, określającym  obszary o stopie bezrobocia wyższej od średniego poziomu bezrobocia dla woj. warmińsko- mazurskiego). Klasyfikacja dokonywana będzie wg danych na koniec poprzedniego </w:t>
            </w:r>
            <w:r w:rsidRPr="00531387">
              <w:lastRenderedPageBreak/>
              <w:t>roku kalendarzowego; zmiana załącznika będzie następowała na koniec I kwartału roku i będzie obowiązywała w okresie czterech kolejnych kwartałów tj. od 01.04 roku n do 31.03.roku n+1</w:t>
            </w:r>
          </w:p>
          <w:p w14:paraId="22546C99" w14:textId="77777777" w:rsidR="005971D0" w:rsidRDefault="005971D0" w:rsidP="0055265E"/>
          <w:p w14:paraId="1BD6E348" w14:textId="77777777" w:rsidR="006005F4" w:rsidRDefault="006005F4" w:rsidP="0055265E"/>
          <w:p w14:paraId="1DD9EF64" w14:textId="77777777" w:rsidR="005971D0" w:rsidRPr="00C47B50" w:rsidRDefault="005971D0" w:rsidP="0055265E"/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18593" w14:textId="77777777" w:rsidR="005971D0" w:rsidRDefault="005971D0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E45B9" w14:textId="77777777" w:rsidR="005971D0" w:rsidRDefault="005971D0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5A493" w14:textId="77777777" w:rsidR="005971D0" w:rsidRDefault="005971D0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7511F" w14:textId="77777777" w:rsidR="005971D0" w:rsidRDefault="005971D0" w:rsidP="00965F28">
            <w:pPr>
              <w:jc w:val="center"/>
            </w:pPr>
          </w:p>
        </w:tc>
      </w:tr>
      <w:tr w:rsidR="003F71A9" w14:paraId="1E21DAAB" w14:textId="77777777" w:rsidTr="003F71A9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D0141" w14:textId="77777777" w:rsidR="003F71A9" w:rsidRDefault="003F71A9" w:rsidP="00965F2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5F414" w14:textId="77777777" w:rsidR="003F71A9" w:rsidRPr="007151BA" w:rsidRDefault="003F71A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17876" w14:textId="77777777" w:rsidR="006005F4" w:rsidRDefault="005971D0" w:rsidP="005971D0">
            <w:r w:rsidRPr="005971D0">
              <w:t xml:space="preserve">Inwestycja jest ukierunkowana  na ekspansję rynkową w wymiarze geograficznym lub ofertowym – opis biznesplanu/planu przedsięwzięcia przekonuje </w:t>
            </w:r>
            <w:r>
              <w:t>o:</w:t>
            </w:r>
            <w:r>
              <w:br/>
            </w:r>
          </w:p>
          <w:p w14:paraId="6B270E7F" w14:textId="77777777" w:rsidR="006005F4" w:rsidRDefault="005971D0" w:rsidP="005971D0">
            <w:r>
              <w:br/>
              <w:t>[  ]</w:t>
            </w:r>
            <w:r w:rsidRPr="005971D0">
              <w:t xml:space="preserve"> ekspansji w wymiarze geograficznym, rozumianej jako realizacja 10% przyrostu obrotu do odbiorców spoza województwa warmińsko-mazurskiego. Realizację ekspansji geograficznej Ostateczny Odbiorca winien potwierdzić na podstawie faktur sprzedaży. Ostateczny Odbiorca zobowiązany jest określić termin osiągnięcia wskaźnika, przy czym wskaźnik ten musi zostać osiągnięty najpóźniej w ciągu 24 miesięcy od zawarcia Umowy pożyczki Inwestycyjnej z Premią</w:t>
            </w:r>
            <w:r>
              <w:br/>
            </w:r>
          </w:p>
          <w:p w14:paraId="546410DA" w14:textId="77777777" w:rsidR="003F71A9" w:rsidRDefault="005971D0" w:rsidP="005971D0">
            <w:r>
              <w:br/>
              <w:t>[  ]</w:t>
            </w:r>
            <w:r w:rsidRPr="005971D0">
              <w:t xml:space="preserve"> ekspansji w wymiarze ofertowym, rozumianej jako realizacja części obrotów z tytułu sprzedaży nowego produktu/usługi. Realizację ekspansji w wymiarze ofertowym Ostateczny Odbiorca winien potwierdzić na podstawie faktur sprzedaży nowego produktu/usługi. Ostateczny Odbiorca zobowiązany jest określić termin osiągnięcia wskaźnika, przy cym wskaźnik ten musi zostać osiągnięty najpóźniej w ciągu 24 miesięcy od zawarcia Umowy </w:t>
            </w:r>
            <w:r>
              <w:t>Pożyczki Inwestycyjnej z Premią</w:t>
            </w:r>
          </w:p>
          <w:p w14:paraId="1DE758A2" w14:textId="77777777" w:rsidR="006005F4" w:rsidRDefault="006005F4" w:rsidP="005971D0"/>
          <w:p w14:paraId="4F4005BC" w14:textId="77777777" w:rsidR="006005F4" w:rsidRDefault="006005F4" w:rsidP="005971D0"/>
          <w:p w14:paraId="6628D0B1" w14:textId="77777777" w:rsidR="006005F4" w:rsidRDefault="006005F4" w:rsidP="005971D0"/>
          <w:p w14:paraId="46DAF682" w14:textId="77777777" w:rsidR="006005F4" w:rsidRDefault="006005F4" w:rsidP="005971D0"/>
          <w:p w14:paraId="592FBBC2" w14:textId="77777777" w:rsidR="006005F4" w:rsidRDefault="006005F4" w:rsidP="005971D0"/>
          <w:p w14:paraId="1742D5D9" w14:textId="77777777" w:rsidR="006005F4" w:rsidRDefault="006005F4" w:rsidP="005971D0"/>
          <w:p w14:paraId="7A12AD89" w14:textId="77777777" w:rsidR="006005F4" w:rsidRDefault="006005F4" w:rsidP="005971D0"/>
          <w:p w14:paraId="39985A74" w14:textId="77777777" w:rsidR="006005F4" w:rsidRPr="00C47B50" w:rsidRDefault="006005F4" w:rsidP="005971D0"/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2ED62" w14:textId="77777777" w:rsidR="003F71A9" w:rsidRDefault="003F71A9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988E4" w14:textId="77777777" w:rsidR="003F71A9" w:rsidRDefault="003F71A9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6D2" w14:textId="77777777" w:rsidR="003F71A9" w:rsidRDefault="003F71A9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677E2" w14:textId="77777777" w:rsidR="003F71A9" w:rsidRDefault="003F71A9" w:rsidP="00965F28">
            <w:pPr>
              <w:jc w:val="center"/>
            </w:pPr>
          </w:p>
        </w:tc>
      </w:tr>
      <w:tr w:rsidR="00DE5F20" w14:paraId="74893485" w14:textId="77777777" w:rsidTr="00DE5F20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E8321" w14:textId="77777777" w:rsidR="00DE5F20" w:rsidRPr="00DE5F20" w:rsidRDefault="00DE5F20" w:rsidP="00DE5F20">
            <w:pPr>
              <w:rPr>
                <w:b/>
              </w:rPr>
            </w:pPr>
            <w:r w:rsidRPr="00DE5F20">
              <w:rPr>
                <w:b/>
              </w:rPr>
              <w:t xml:space="preserve">VIII. Kryteria uprawniające do skorzystania z oprocentowania na warunkach korzystniejszych niż rynkowe zgodnie z zasadami udzielania pomocy de </w:t>
            </w:r>
            <w:proofErr w:type="spellStart"/>
            <w:r w:rsidRPr="00DE5F20">
              <w:rPr>
                <w:b/>
              </w:rPr>
              <w:t>minimis</w:t>
            </w:r>
            <w:proofErr w:type="spellEnd"/>
          </w:p>
        </w:tc>
      </w:tr>
      <w:tr w:rsidR="00DE5F20" w14:paraId="6887BB6E" w14:textId="77777777" w:rsidTr="007151B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4EB0C09C" w14:textId="77777777" w:rsidR="00DE5F20" w:rsidRDefault="00DE5F20" w:rsidP="00965F28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DDA08E5" w14:textId="77777777" w:rsidR="00DE5F20" w:rsidRPr="00DE5F20" w:rsidRDefault="00DE5F20" w:rsidP="00DE5F20">
            <w:pPr>
              <w:rPr>
                <w:sz w:val="20"/>
                <w:szCs w:val="20"/>
              </w:rPr>
            </w:pPr>
            <w:r w:rsidRPr="00DE5F20">
              <w:rPr>
                <w:sz w:val="20"/>
                <w:szCs w:val="20"/>
              </w:rPr>
              <w:t xml:space="preserve">Sektory działalności gospodarczej nie podlegające </w:t>
            </w:r>
            <w:proofErr w:type="spellStart"/>
            <w:r>
              <w:rPr>
                <w:sz w:val="20"/>
                <w:szCs w:val="20"/>
              </w:rPr>
              <w:t>wyklu-cze</w:t>
            </w:r>
            <w:r w:rsidRPr="00DE5F20">
              <w:rPr>
                <w:sz w:val="20"/>
                <w:szCs w:val="20"/>
              </w:rPr>
              <w:t>niu</w:t>
            </w:r>
            <w:proofErr w:type="spellEnd"/>
            <w:r w:rsidRPr="00DE5F20">
              <w:rPr>
                <w:sz w:val="20"/>
                <w:szCs w:val="20"/>
              </w:rPr>
              <w:t xml:space="preserve"> z możliwości </w:t>
            </w:r>
            <w:r w:rsidRPr="00DE5F20">
              <w:rPr>
                <w:sz w:val="20"/>
                <w:szCs w:val="20"/>
              </w:rPr>
              <w:lastRenderedPageBreak/>
              <w:t xml:space="preserve">ubiegania się o pomoc de </w:t>
            </w:r>
            <w:proofErr w:type="spellStart"/>
            <w:r w:rsidRPr="00DE5F20">
              <w:rPr>
                <w:sz w:val="20"/>
                <w:szCs w:val="20"/>
              </w:rPr>
              <w:t>minimis</w:t>
            </w:r>
            <w:proofErr w:type="spellEnd"/>
            <w:r w:rsidRPr="00DE5F20">
              <w:rPr>
                <w:sz w:val="20"/>
                <w:szCs w:val="20"/>
              </w:rPr>
              <w:t xml:space="preserve"> zgodnie z </w:t>
            </w:r>
            <w:proofErr w:type="spellStart"/>
            <w:r w:rsidRPr="00DE5F20">
              <w:rPr>
                <w:sz w:val="20"/>
                <w:szCs w:val="20"/>
              </w:rPr>
              <w:t>Rozpo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E5F20">
              <w:rPr>
                <w:sz w:val="20"/>
                <w:szCs w:val="20"/>
              </w:rPr>
              <w:t xml:space="preserve">rządzeniem Komisji (UE) nr 651/2014,  Rozporządzeniem Komisji (UE) 1407/2013 oraz Rozporządzeniem Ministra </w:t>
            </w:r>
            <w:proofErr w:type="spellStart"/>
            <w:r w:rsidRPr="00DE5F20">
              <w:rPr>
                <w:sz w:val="20"/>
                <w:szCs w:val="20"/>
              </w:rPr>
              <w:t>Infra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E5F20">
              <w:rPr>
                <w:sz w:val="20"/>
                <w:szCs w:val="20"/>
              </w:rPr>
              <w:t xml:space="preserve">struktury i Rozwoju z dnia 19 marca 2015 r. w sprawie udzielania pomocy de </w:t>
            </w:r>
            <w:proofErr w:type="spellStart"/>
            <w:r w:rsidRPr="00DE5F20">
              <w:rPr>
                <w:sz w:val="20"/>
                <w:szCs w:val="20"/>
              </w:rPr>
              <w:t>minimis</w:t>
            </w:r>
            <w:proofErr w:type="spellEnd"/>
            <w:r w:rsidRPr="00DE5F20">
              <w:rPr>
                <w:sz w:val="20"/>
                <w:szCs w:val="20"/>
              </w:rPr>
              <w:t xml:space="preserve"> w ramach </w:t>
            </w:r>
            <w:proofErr w:type="spellStart"/>
            <w:r w:rsidRPr="00DE5F20">
              <w:rPr>
                <w:sz w:val="20"/>
                <w:szCs w:val="20"/>
              </w:rPr>
              <w:t>regional</w:t>
            </w:r>
            <w:r>
              <w:rPr>
                <w:sz w:val="20"/>
                <w:szCs w:val="20"/>
              </w:rPr>
              <w:t>-</w:t>
            </w:r>
            <w:r w:rsidRPr="00DE5F20">
              <w:rPr>
                <w:sz w:val="20"/>
                <w:szCs w:val="20"/>
              </w:rPr>
              <w:t>nych</w:t>
            </w:r>
            <w:proofErr w:type="spellEnd"/>
            <w:r w:rsidRPr="00DE5F20">
              <w:rPr>
                <w:sz w:val="20"/>
                <w:szCs w:val="20"/>
              </w:rPr>
              <w:t xml:space="preserve"> programów operacyjnych na lata 2014-2020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0942C6E" w14:textId="77777777" w:rsidR="00DE5F20" w:rsidRPr="00C47B50" w:rsidRDefault="00DE5F20" w:rsidP="0055265E">
            <w:r w:rsidRPr="00DE5F20">
              <w:lastRenderedPageBreak/>
              <w:t xml:space="preserve">Z oprocentowania na warunkach korzystniejszych niż rynkowe zgodnie z zasadami udzielania pomocy de </w:t>
            </w:r>
            <w:proofErr w:type="spellStart"/>
            <w:r w:rsidRPr="00DE5F20">
              <w:t>minimis</w:t>
            </w:r>
            <w:proofErr w:type="spellEnd"/>
            <w:r w:rsidRPr="00DE5F20">
              <w:t xml:space="preserve"> mogą ubiegać się podmioty realizujące </w:t>
            </w:r>
            <w:r w:rsidRPr="00DE5F20">
              <w:lastRenderedPageBreak/>
              <w:t xml:space="preserve">przedsięwzięcia w ramach przynajmniej jednej z preferencji oraz nie podlegające wykluczeniu z możliwości ubiegania się o pomoc de </w:t>
            </w:r>
            <w:proofErr w:type="spellStart"/>
            <w:r w:rsidRPr="00DE5F20">
              <w:t>minimis</w:t>
            </w:r>
            <w:proofErr w:type="spellEnd"/>
            <w:r w:rsidRPr="00DE5F20">
              <w:t xml:space="preserve"> zgodnie z Rozporządzeniem Komisji (UE) nr 651/2014 uznające, niektóre rodzaje pomocy za zgodne z rynkiem wewnętrznym w zastosowaniu art. 107 i 108 Traktatu oraz Rozporządzeniem Komisji (UE) 1407/2013 </w:t>
            </w:r>
            <w:r w:rsidR="008E6B3F">
              <w:t xml:space="preserve"> z dnia</w:t>
            </w:r>
            <w:r w:rsidRPr="00DE5F20">
              <w:t xml:space="preserve">18 grudnia 2013r. w sprawie stosowania art. 107 i 108 Traktatu o funkcjonowaniu Unii Europejskiej i Rozporządzeniem Ministra Infrastruktury i Rozwoju z dnia 19 marca 2015 r. w sprawie udzielania pomocy de </w:t>
            </w:r>
            <w:proofErr w:type="spellStart"/>
            <w:r w:rsidRPr="00DE5F20">
              <w:t>minimis</w:t>
            </w:r>
            <w:proofErr w:type="spellEnd"/>
            <w:r w:rsidRPr="00DE5F20">
              <w:t xml:space="preserve"> w ramach regionalnych programów operacyjnych na lata 2014-2020</w:t>
            </w:r>
          </w:p>
        </w:tc>
        <w:tc>
          <w:tcPr>
            <w:tcW w:w="583" w:type="dxa"/>
            <w:tcBorders>
              <w:top w:val="single" w:sz="4" w:space="0" w:color="auto"/>
            </w:tcBorders>
            <w:vAlign w:val="center"/>
          </w:tcPr>
          <w:p w14:paraId="2F795FE3" w14:textId="77777777" w:rsidR="00DE5F20" w:rsidRDefault="00DE5F20" w:rsidP="00965F28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14:paraId="5E605ED4" w14:textId="77777777" w:rsidR="00DE5F20" w:rsidRDefault="00DE5F20" w:rsidP="00965F28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222E347" w14:textId="77777777" w:rsidR="00DE5F20" w:rsidRDefault="00DE5F20" w:rsidP="00965F28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</w:tcBorders>
            <w:vAlign w:val="center"/>
          </w:tcPr>
          <w:p w14:paraId="7F75E2B8" w14:textId="77777777" w:rsidR="00DE5F20" w:rsidRDefault="00DE5F20" w:rsidP="00965F28">
            <w:pPr>
              <w:jc w:val="center"/>
            </w:pPr>
          </w:p>
        </w:tc>
      </w:tr>
    </w:tbl>
    <w:p w14:paraId="3A2E5E47" w14:textId="77777777" w:rsidR="00207F03" w:rsidRDefault="00207F03" w:rsidP="00DE5F20"/>
    <w:sectPr w:rsidR="00207F03" w:rsidSect="00A5673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8BA03" w14:textId="77777777" w:rsidR="00E069A7" w:rsidRDefault="00E069A7" w:rsidP="003208A3">
      <w:pPr>
        <w:spacing w:after="0" w:line="240" w:lineRule="auto"/>
      </w:pPr>
      <w:r>
        <w:separator/>
      </w:r>
    </w:p>
  </w:endnote>
  <w:endnote w:type="continuationSeparator" w:id="0">
    <w:p w14:paraId="229BE0E6" w14:textId="77777777" w:rsidR="00E069A7" w:rsidRDefault="00E069A7" w:rsidP="0032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82BDA" w14:textId="77777777" w:rsidR="003208A3" w:rsidRDefault="003208A3" w:rsidP="003208A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4E450" w14:textId="77777777" w:rsidR="003208A3" w:rsidRDefault="009D029E" w:rsidP="003208A3">
    <w:pPr>
      <w:pStyle w:val="Stopka"/>
      <w:jc w:val="center"/>
    </w:pPr>
    <w:r w:rsidRPr="009D029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F7AD97F" wp14:editId="76F6976E">
          <wp:extent cx="5772150" cy="57633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8560" cy="577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8D588" w14:textId="77777777" w:rsidR="00E069A7" w:rsidRDefault="00E069A7" w:rsidP="003208A3">
      <w:pPr>
        <w:spacing w:after="0" w:line="240" w:lineRule="auto"/>
      </w:pPr>
      <w:r>
        <w:separator/>
      </w:r>
    </w:p>
  </w:footnote>
  <w:footnote w:type="continuationSeparator" w:id="0">
    <w:p w14:paraId="0C4B43D5" w14:textId="77777777" w:rsidR="00E069A7" w:rsidRDefault="00E069A7" w:rsidP="0032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A3669" w14:textId="77777777" w:rsidR="003208A3" w:rsidRDefault="003208A3" w:rsidP="003208A3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A4B5C" w14:textId="68441397" w:rsidR="003208A3" w:rsidRDefault="007B1FDF" w:rsidP="003208A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435C01" wp14:editId="752D5C8A">
          <wp:extent cx="5760720" cy="356870"/>
          <wp:effectExtent l="0" t="0" r="0" b="5080"/>
          <wp:docPr id="1" name="Obraz 1" descr="C:\Users\Grzegorz\Desktop\konsorcjum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Grzegorz\Desktop\konsorcjum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C7431"/>
    <w:multiLevelType w:val="hybridMultilevel"/>
    <w:tmpl w:val="EB8CE3C8"/>
    <w:lvl w:ilvl="0" w:tplc="B4220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9"/>
    <w:rsid w:val="00007B6A"/>
    <w:rsid w:val="00045D4B"/>
    <w:rsid w:val="000658CC"/>
    <w:rsid w:val="000A7DB3"/>
    <w:rsid w:val="000B7E29"/>
    <w:rsid w:val="00105091"/>
    <w:rsid w:val="001050C5"/>
    <w:rsid w:val="00146454"/>
    <w:rsid w:val="00150742"/>
    <w:rsid w:val="00183DD4"/>
    <w:rsid w:val="001A52B2"/>
    <w:rsid w:val="001D2313"/>
    <w:rsid w:val="001F6BD2"/>
    <w:rsid w:val="00207F03"/>
    <w:rsid w:val="002123D9"/>
    <w:rsid w:val="002B7B48"/>
    <w:rsid w:val="002C5D83"/>
    <w:rsid w:val="002F6BFC"/>
    <w:rsid w:val="003208A3"/>
    <w:rsid w:val="00340791"/>
    <w:rsid w:val="003658FD"/>
    <w:rsid w:val="003974AB"/>
    <w:rsid w:val="003F5A77"/>
    <w:rsid w:val="003F71A9"/>
    <w:rsid w:val="00404BB0"/>
    <w:rsid w:val="00413DCB"/>
    <w:rsid w:val="0045647A"/>
    <w:rsid w:val="004B0DF6"/>
    <w:rsid w:val="004B4FD5"/>
    <w:rsid w:val="004C47C6"/>
    <w:rsid w:val="004D273C"/>
    <w:rsid w:val="004F6018"/>
    <w:rsid w:val="005016C5"/>
    <w:rsid w:val="00531387"/>
    <w:rsid w:val="00540B5C"/>
    <w:rsid w:val="00547188"/>
    <w:rsid w:val="0055265E"/>
    <w:rsid w:val="00584CA1"/>
    <w:rsid w:val="005971D0"/>
    <w:rsid w:val="005B4E78"/>
    <w:rsid w:val="005E33DE"/>
    <w:rsid w:val="006005F4"/>
    <w:rsid w:val="00633D44"/>
    <w:rsid w:val="00640EF6"/>
    <w:rsid w:val="00642B59"/>
    <w:rsid w:val="006438BC"/>
    <w:rsid w:val="00696497"/>
    <w:rsid w:val="006A16E6"/>
    <w:rsid w:val="006F062D"/>
    <w:rsid w:val="007151BA"/>
    <w:rsid w:val="007310B2"/>
    <w:rsid w:val="00755B3D"/>
    <w:rsid w:val="00763303"/>
    <w:rsid w:val="007877C4"/>
    <w:rsid w:val="007B1FDF"/>
    <w:rsid w:val="007F03A7"/>
    <w:rsid w:val="0085451E"/>
    <w:rsid w:val="008D52BA"/>
    <w:rsid w:val="008E4731"/>
    <w:rsid w:val="008E6B3F"/>
    <w:rsid w:val="008F3A8B"/>
    <w:rsid w:val="00930271"/>
    <w:rsid w:val="009652DB"/>
    <w:rsid w:val="00965F28"/>
    <w:rsid w:val="0097596B"/>
    <w:rsid w:val="00994D94"/>
    <w:rsid w:val="009B564F"/>
    <w:rsid w:val="009D029E"/>
    <w:rsid w:val="00A1301A"/>
    <w:rsid w:val="00A20D02"/>
    <w:rsid w:val="00A5673E"/>
    <w:rsid w:val="00A853F3"/>
    <w:rsid w:val="00A9542D"/>
    <w:rsid w:val="00AE1287"/>
    <w:rsid w:val="00AF34DA"/>
    <w:rsid w:val="00AF4D5C"/>
    <w:rsid w:val="00AF4E76"/>
    <w:rsid w:val="00AF77DE"/>
    <w:rsid w:val="00B57AAF"/>
    <w:rsid w:val="00B67053"/>
    <w:rsid w:val="00C47B50"/>
    <w:rsid w:val="00CF3467"/>
    <w:rsid w:val="00CF38DB"/>
    <w:rsid w:val="00CF414B"/>
    <w:rsid w:val="00D9222A"/>
    <w:rsid w:val="00DB2AC5"/>
    <w:rsid w:val="00DE5F20"/>
    <w:rsid w:val="00DF1AA4"/>
    <w:rsid w:val="00E069A7"/>
    <w:rsid w:val="00E30240"/>
    <w:rsid w:val="00E43E69"/>
    <w:rsid w:val="00E46B24"/>
    <w:rsid w:val="00E9621E"/>
    <w:rsid w:val="00ED04AB"/>
    <w:rsid w:val="00ED051B"/>
    <w:rsid w:val="00EF54EA"/>
    <w:rsid w:val="00F34462"/>
    <w:rsid w:val="00F73C10"/>
    <w:rsid w:val="00F921FD"/>
    <w:rsid w:val="00F96919"/>
    <w:rsid w:val="00FA5E96"/>
    <w:rsid w:val="00FC12A7"/>
    <w:rsid w:val="00FD1EB9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AA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A3"/>
  </w:style>
  <w:style w:type="paragraph" w:styleId="Stopka">
    <w:name w:val="footer"/>
    <w:basedOn w:val="Normalny"/>
    <w:link w:val="Stopka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A3"/>
  </w:style>
  <w:style w:type="table" w:styleId="Tabela-Siatka">
    <w:name w:val="Table Grid"/>
    <w:basedOn w:val="Standardowy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A3"/>
  </w:style>
  <w:style w:type="paragraph" w:styleId="Stopka">
    <w:name w:val="footer"/>
    <w:basedOn w:val="Normalny"/>
    <w:link w:val="Stopka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A3"/>
  </w:style>
  <w:style w:type="table" w:styleId="Tabela-Siatka">
    <w:name w:val="Table Grid"/>
    <w:basedOn w:val="Standardowy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77B5-9490-4245-89E2-4C95B34A3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450D0C-1949-4783-BB57-6C68DE0BD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2561A-43B3-4014-AB95-D5304CBD9620}"/>
</file>

<file path=customXml/itemProps4.xml><?xml version="1.0" encoding="utf-8"?>
<ds:datastoreItem xmlns:ds="http://schemas.openxmlformats.org/officeDocument/2006/customXml" ds:itemID="{4A30E38B-D389-4461-8563-CB35263A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1663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Nąć</dc:creator>
  <cp:lastModifiedBy>Grzegorz Chiliński</cp:lastModifiedBy>
  <cp:revision>10</cp:revision>
  <dcterms:created xsi:type="dcterms:W3CDTF">2018-05-25T09:08:00Z</dcterms:created>
  <dcterms:modified xsi:type="dcterms:W3CDTF">2021-02-05T07:43:00Z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